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B03" w:rsidRPr="00CF7B03" w:rsidRDefault="00CF7B03" w:rsidP="00CF7B03">
      <w:pPr>
        <w:pStyle w:val="VE"/>
        <w:rPr>
          <w:rFonts w:asciiTheme="minorHAnsi" w:hAnsiTheme="minorHAnsi" w:cstheme="minorHAnsi"/>
          <w:lang w:val="cs-CZ"/>
        </w:rPr>
      </w:pPr>
      <w:r w:rsidRPr="00CF7B03">
        <w:rPr>
          <w:rFonts w:asciiTheme="minorHAnsi" w:hAnsiTheme="minorHAnsi" w:cstheme="minorHAnsi"/>
          <w:lang w:val="cs-CZ"/>
        </w:rPr>
        <w:t>Vysoká škola ekonomická v Praze</w:t>
      </w:r>
    </w:p>
    <w:p w:rsidR="00CF7B03" w:rsidRPr="00CF7B03" w:rsidRDefault="00CF7B03" w:rsidP="00CF7B03">
      <w:pPr>
        <w:pStyle w:val="Fakulta"/>
        <w:rPr>
          <w:rFonts w:asciiTheme="minorHAnsi" w:hAnsiTheme="minorHAnsi" w:cstheme="minorHAnsi"/>
          <w:lang w:val="cs-CZ"/>
        </w:rPr>
      </w:pPr>
      <w:r w:rsidRPr="00CF7B03">
        <w:rPr>
          <w:rFonts w:asciiTheme="minorHAnsi" w:hAnsiTheme="minorHAnsi" w:cstheme="minorHAnsi"/>
          <w:lang w:val="cs-CZ"/>
        </w:rPr>
        <w:t>Fakulta financí a účetnictví</w:t>
      </w:r>
    </w:p>
    <w:p w:rsidR="00CF7B03" w:rsidRPr="00CF7B03" w:rsidRDefault="00CF7B03" w:rsidP="00CF7B03">
      <w:pPr>
        <w:pStyle w:val="Fakulta"/>
        <w:rPr>
          <w:rFonts w:asciiTheme="minorHAnsi" w:hAnsiTheme="minorHAnsi" w:cstheme="minorHAnsi"/>
          <w:lang w:val="cs-CZ"/>
        </w:rPr>
      </w:pPr>
      <w:r w:rsidRPr="00CF7B03">
        <w:rPr>
          <w:rFonts w:asciiTheme="minorHAnsi" w:hAnsiTheme="minorHAnsi" w:cstheme="minorHAnsi"/>
          <w:lang w:val="cs-CZ"/>
        </w:rPr>
        <w:t xml:space="preserve">Katedra </w:t>
      </w:r>
      <w:proofErr w:type="spellStart"/>
      <w:r w:rsidRPr="00CF7B03">
        <w:rPr>
          <w:rFonts w:asciiTheme="minorHAnsi" w:hAnsiTheme="minorHAnsi" w:cstheme="minorHAnsi"/>
          <w:lang w:val="cs-CZ"/>
        </w:rPr>
        <w:t>xxx</w:t>
      </w:r>
      <w:proofErr w:type="spellEnd"/>
    </w:p>
    <w:p w:rsidR="00CF7B03" w:rsidRPr="00CF7B03" w:rsidRDefault="00CF7B03" w:rsidP="00CF7B03">
      <w:pPr>
        <w:pStyle w:val="Textodstavce"/>
        <w:rPr>
          <w:rFonts w:asciiTheme="minorHAnsi" w:hAnsiTheme="minorHAnsi" w:cstheme="minorHAnsi"/>
        </w:rPr>
      </w:pPr>
    </w:p>
    <w:p w:rsidR="00CF7B03" w:rsidRPr="00CF7B03" w:rsidRDefault="00CF7B03" w:rsidP="00CF7B03">
      <w:pPr>
        <w:pStyle w:val="Textodstavce"/>
        <w:rPr>
          <w:rFonts w:asciiTheme="minorHAnsi" w:hAnsiTheme="minorHAnsi" w:cstheme="minorHAnsi"/>
        </w:rPr>
      </w:pPr>
    </w:p>
    <w:p w:rsidR="00CF7B03" w:rsidRPr="00CF7B03" w:rsidRDefault="00CF7B03" w:rsidP="00CF7B03">
      <w:pPr>
        <w:pStyle w:val="Textodstavce"/>
        <w:rPr>
          <w:rFonts w:asciiTheme="minorHAnsi" w:hAnsiTheme="minorHAnsi" w:cstheme="minorHAnsi"/>
        </w:rPr>
      </w:pPr>
    </w:p>
    <w:p w:rsidR="00CF7B03" w:rsidRPr="00CF7B03" w:rsidRDefault="00CF7B03" w:rsidP="00CF7B03">
      <w:pPr>
        <w:pStyle w:val="VE"/>
        <w:rPr>
          <w:rFonts w:asciiTheme="minorHAnsi" w:hAnsiTheme="minorHAnsi" w:cstheme="minorHAnsi"/>
          <w:lang w:val="cs-CZ"/>
        </w:rPr>
      </w:pPr>
      <w:r w:rsidRPr="00CF7B03">
        <w:rPr>
          <w:rFonts w:asciiTheme="minorHAnsi" w:hAnsiTheme="minorHAnsi" w:cstheme="minorHAnsi"/>
          <w:lang w:val="cs-CZ"/>
        </w:rPr>
        <w:t>Teze dizertační práce „Předpokládaný název“</w:t>
      </w:r>
    </w:p>
    <w:p w:rsidR="00CF7B03" w:rsidRPr="00CF7B03" w:rsidRDefault="00CF7B03" w:rsidP="00CF7B03">
      <w:pPr>
        <w:pStyle w:val="Textodstavce"/>
        <w:rPr>
          <w:rFonts w:asciiTheme="minorHAnsi" w:hAnsiTheme="minorHAnsi" w:cstheme="minorHAnsi"/>
        </w:rPr>
      </w:pPr>
    </w:p>
    <w:p w:rsidR="00CF7B03" w:rsidRPr="00CF7B03" w:rsidRDefault="00CF7B03" w:rsidP="00CF7B03">
      <w:pPr>
        <w:pStyle w:val="VE"/>
        <w:rPr>
          <w:rFonts w:asciiTheme="minorHAnsi" w:hAnsiTheme="minorHAnsi" w:cstheme="minorHAnsi"/>
          <w:lang w:val="cs-CZ"/>
        </w:rPr>
      </w:pPr>
    </w:p>
    <w:p w:rsidR="00CF7B03" w:rsidRPr="00CF7B03" w:rsidRDefault="00CF7B03" w:rsidP="00CF7B03">
      <w:pPr>
        <w:pStyle w:val="Textodstavce"/>
        <w:rPr>
          <w:rFonts w:asciiTheme="minorHAnsi" w:hAnsiTheme="minorHAnsi" w:cstheme="minorHAnsi"/>
        </w:rPr>
      </w:pPr>
    </w:p>
    <w:p w:rsidR="00CF7B03" w:rsidRPr="00CF7B03" w:rsidRDefault="00CF7B03" w:rsidP="00CF7B03">
      <w:pPr>
        <w:pStyle w:val="Textodstavce"/>
        <w:rPr>
          <w:rFonts w:asciiTheme="minorHAnsi" w:hAnsiTheme="minorHAnsi" w:cstheme="minorHAnsi"/>
        </w:rPr>
      </w:pPr>
    </w:p>
    <w:p w:rsidR="00CF7B03" w:rsidRPr="00CF7B03" w:rsidRDefault="00CF7B03" w:rsidP="00CF7B03">
      <w:pPr>
        <w:pStyle w:val="Textodstavce"/>
        <w:rPr>
          <w:rFonts w:asciiTheme="minorHAnsi" w:hAnsiTheme="minorHAnsi" w:cstheme="minorHAnsi"/>
          <w:b/>
          <w:sz w:val="32"/>
        </w:rPr>
      </w:pPr>
    </w:p>
    <w:p w:rsidR="00CF7B03" w:rsidRPr="00CF7B03" w:rsidRDefault="00CF7B03" w:rsidP="00CF7B03">
      <w:pPr>
        <w:pStyle w:val="Textodstavce"/>
        <w:rPr>
          <w:rFonts w:asciiTheme="minorHAnsi" w:hAnsiTheme="minorHAnsi" w:cstheme="minorHAnsi"/>
          <w:b/>
          <w:sz w:val="32"/>
        </w:rPr>
      </w:pPr>
    </w:p>
    <w:p w:rsidR="00CF7B03" w:rsidRPr="00CF7B03" w:rsidRDefault="00CF7B03" w:rsidP="00CF7B03">
      <w:pPr>
        <w:pStyle w:val="Textodstavce"/>
        <w:rPr>
          <w:rFonts w:asciiTheme="minorHAnsi" w:hAnsiTheme="minorHAnsi" w:cstheme="minorHAnsi"/>
          <w:b/>
          <w:sz w:val="28"/>
        </w:rPr>
      </w:pPr>
    </w:p>
    <w:p w:rsidR="00CF7B03" w:rsidRPr="00CF7B03" w:rsidRDefault="00CF7B03" w:rsidP="00CF7B03">
      <w:pPr>
        <w:pStyle w:val="Textodstavce"/>
        <w:rPr>
          <w:rFonts w:asciiTheme="minorHAnsi" w:hAnsiTheme="minorHAnsi" w:cstheme="minorHAnsi"/>
          <w:b/>
          <w:sz w:val="28"/>
        </w:rPr>
      </w:pPr>
    </w:p>
    <w:p w:rsidR="00CF7B03" w:rsidRPr="00CF7B03" w:rsidRDefault="00CF7B03" w:rsidP="00CF7B03">
      <w:pPr>
        <w:pStyle w:val="Textodstavce"/>
        <w:rPr>
          <w:rFonts w:asciiTheme="minorHAnsi" w:hAnsiTheme="minorHAnsi" w:cstheme="minorHAnsi"/>
          <w:sz w:val="28"/>
        </w:rPr>
      </w:pPr>
      <w:r w:rsidRPr="00CF7B03">
        <w:rPr>
          <w:rFonts w:asciiTheme="minorHAnsi" w:hAnsiTheme="minorHAnsi" w:cstheme="minorHAnsi"/>
          <w:b/>
          <w:sz w:val="28"/>
        </w:rPr>
        <w:t>Doktorand/</w:t>
      </w:r>
      <w:proofErr w:type="spellStart"/>
      <w:r w:rsidRPr="00CF7B03">
        <w:rPr>
          <w:rFonts w:asciiTheme="minorHAnsi" w:hAnsiTheme="minorHAnsi" w:cstheme="minorHAnsi"/>
          <w:b/>
          <w:sz w:val="28"/>
        </w:rPr>
        <w:t>ka</w:t>
      </w:r>
      <w:proofErr w:type="spellEnd"/>
      <w:r w:rsidRPr="00CF7B03">
        <w:rPr>
          <w:rFonts w:asciiTheme="minorHAnsi" w:hAnsiTheme="minorHAnsi" w:cstheme="minorHAnsi"/>
          <w:b/>
          <w:sz w:val="28"/>
        </w:rPr>
        <w:t>:</w:t>
      </w:r>
      <w:r w:rsidRPr="00CF7B03">
        <w:rPr>
          <w:rFonts w:asciiTheme="minorHAnsi" w:hAnsiTheme="minorHAnsi" w:cstheme="minorHAnsi"/>
          <w:sz w:val="28"/>
        </w:rPr>
        <w:t xml:space="preserve"> </w:t>
      </w:r>
      <w:proofErr w:type="spellStart"/>
      <w:r w:rsidRPr="00CF7B03">
        <w:rPr>
          <w:rFonts w:asciiTheme="minorHAnsi" w:hAnsiTheme="minorHAnsi" w:cstheme="minorHAnsi"/>
          <w:sz w:val="28"/>
        </w:rPr>
        <w:t>xxx</w:t>
      </w:r>
      <w:proofErr w:type="spellEnd"/>
    </w:p>
    <w:p w:rsidR="00CF7B03" w:rsidRPr="00CF7B03" w:rsidRDefault="00CF7B03" w:rsidP="00CF7B03">
      <w:pPr>
        <w:pStyle w:val="Textodstavce"/>
        <w:rPr>
          <w:rFonts w:asciiTheme="minorHAnsi" w:hAnsiTheme="minorHAnsi" w:cstheme="minorHAnsi"/>
          <w:sz w:val="28"/>
        </w:rPr>
      </w:pPr>
      <w:r w:rsidRPr="00CF7B03">
        <w:rPr>
          <w:rFonts w:asciiTheme="minorHAnsi" w:hAnsiTheme="minorHAnsi" w:cstheme="minorHAnsi"/>
          <w:b/>
          <w:sz w:val="28"/>
        </w:rPr>
        <w:t>Školitel/</w:t>
      </w:r>
      <w:proofErr w:type="spellStart"/>
      <w:r w:rsidRPr="00CF7B03">
        <w:rPr>
          <w:rFonts w:asciiTheme="minorHAnsi" w:hAnsiTheme="minorHAnsi" w:cstheme="minorHAnsi"/>
          <w:b/>
          <w:sz w:val="28"/>
        </w:rPr>
        <w:t>ka</w:t>
      </w:r>
      <w:proofErr w:type="spellEnd"/>
      <w:r w:rsidRPr="00CF7B03">
        <w:rPr>
          <w:rFonts w:asciiTheme="minorHAnsi" w:hAnsiTheme="minorHAnsi" w:cstheme="minorHAnsi"/>
          <w:b/>
          <w:sz w:val="28"/>
        </w:rPr>
        <w:t>:</w:t>
      </w:r>
      <w:r w:rsidRPr="00CF7B03">
        <w:rPr>
          <w:rFonts w:asciiTheme="minorHAnsi" w:hAnsiTheme="minorHAnsi" w:cstheme="minorHAnsi"/>
          <w:sz w:val="28"/>
        </w:rPr>
        <w:t xml:space="preserve"> </w:t>
      </w:r>
      <w:proofErr w:type="spellStart"/>
      <w:r w:rsidRPr="00CF7B03">
        <w:rPr>
          <w:rFonts w:asciiTheme="minorHAnsi" w:hAnsiTheme="minorHAnsi" w:cstheme="minorHAnsi"/>
          <w:sz w:val="28"/>
        </w:rPr>
        <w:t>xxx</w:t>
      </w:r>
      <w:proofErr w:type="spellEnd"/>
    </w:p>
    <w:p w:rsidR="00CF7B03" w:rsidRPr="00CF7B03" w:rsidRDefault="00CF7B03" w:rsidP="00CF7B03">
      <w:pPr>
        <w:pStyle w:val="Textodstavce"/>
        <w:rPr>
          <w:rFonts w:asciiTheme="minorHAnsi" w:hAnsiTheme="minorHAnsi" w:cstheme="minorHAnsi"/>
          <w:sz w:val="28"/>
        </w:rPr>
      </w:pPr>
      <w:r w:rsidRPr="00CF7B03">
        <w:rPr>
          <w:rFonts w:asciiTheme="minorHAnsi" w:hAnsiTheme="minorHAnsi" w:cstheme="minorHAnsi"/>
          <w:b/>
          <w:sz w:val="28"/>
        </w:rPr>
        <w:t>Prezentováno:</w:t>
      </w:r>
      <w:r w:rsidRPr="00CF7B03">
        <w:rPr>
          <w:rFonts w:asciiTheme="minorHAnsi" w:hAnsiTheme="minorHAnsi" w:cstheme="minorHAnsi"/>
          <w:sz w:val="28"/>
        </w:rPr>
        <w:t xml:space="preserve"> </w:t>
      </w:r>
      <w:proofErr w:type="spellStart"/>
      <w:r w:rsidRPr="00CF7B03">
        <w:rPr>
          <w:rFonts w:asciiTheme="minorHAnsi" w:hAnsiTheme="minorHAnsi" w:cstheme="minorHAnsi"/>
          <w:sz w:val="28"/>
        </w:rPr>
        <w:t>xx</w:t>
      </w:r>
      <w:proofErr w:type="spellEnd"/>
      <w:r w:rsidRPr="00CF7B03">
        <w:rPr>
          <w:rFonts w:asciiTheme="minorHAnsi" w:hAnsiTheme="minorHAnsi" w:cstheme="minorHAnsi"/>
          <w:sz w:val="28"/>
        </w:rPr>
        <w:t xml:space="preserve">. </w:t>
      </w:r>
      <w:proofErr w:type="spellStart"/>
      <w:r w:rsidRPr="00CF7B03">
        <w:rPr>
          <w:rFonts w:asciiTheme="minorHAnsi" w:hAnsiTheme="minorHAnsi" w:cstheme="minorHAnsi"/>
          <w:sz w:val="28"/>
        </w:rPr>
        <w:t>xx</w:t>
      </w:r>
      <w:proofErr w:type="spellEnd"/>
      <w:r w:rsidRPr="00CF7B03">
        <w:rPr>
          <w:rFonts w:asciiTheme="minorHAnsi" w:hAnsiTheme="minorHAnsi" w:cstheme="minorHAnsi"/>
          <w:sz w:val="28"/>
        </w:rPr>
        <w:t>. 20xx</w:t>
      </w:r>
    </w:p>
    <w:p w:rsidR="00AC74CE" w:rsidRPr="00CF7B03" w:rsidRDefault="001B4F3A" w:rsidP="00537F20">
      <w:pPr>
        <w:pStyle w:val="Nadpis2"/>
        <w:rPr>
          <w:rFonts w:asciiTheme="minorHAnsi" w:hAnsiTheme="minorHAnsi" w:cstheme="minorHAnsi"/>
          <w:b/>
        </w:rPr>
      </w:pPr>
      <w:r w:rsidRPr="00CF7B03">
        <w:rPr>
          <w:rFonts w:asciiTheme="minorHAnsi" w:hAnsiTheme="minorHAnsi" w:cstheme="minorHAnsi"/>
          <w:sz w:val="26"/>
          <w:szCs w:val="26"/>
        </w:rPr>
        <w:br w:type="page"/>
      </w:r>
      <w:r w:rsidR="00AC74CE" w:rsidRPr="00CF7B03">
        <w:rPr>
          <w:rFonts w:asciiTheme="minorHAnsi" w:hAnsiTheme="minorHAnsi" w:cstheme="minorHAnsi"/>
          <w:b/>
        </w:rPr>
        <w:lastRenderedPageBreak/>
        <w:t>Charakteristika tématu</w:t>
      </w:r>
      <w:r w:rsidR="00537F20" w:rsidRPr="00CF7B03">
        <w:rPr>
          <w:rFonts w:asciiTheme="minorHAnsi" w:hAnsiTheme="minorHAnsi" w:cstheme="minorHAnsi"/>
          <w:b/>
        </w:rPr>
        <w:t xml:space="preserve"> a rešerše literatury </w:t>
      </w:r>
      <w:r w:rsidR="00537F20" w:rsidRPr="00CF7B03">
        <w:rPr>
          <w:rFonts w:asciiTheme="minorHAnsi" w:hAnsiTheme="minorHAnsi" w:cstheme="minorHAnsi"/>
          <w:i/>
          <w:highlight w:val="lightGray"/>
        </w:rPr>
        <w:t>(cca 2-3 strany)</w:t>
      </w:r>
    </w:p>
    <w:p w:rsidR="00A97700" w:rsidRPr="00CF7B03" w:rsidRDefault="00A97700" w:rsidP="007A5C5C">
      <w:pPr>
        <w:spacing w:after="120"/>
        <w:jc w:val="both"/>
        <w:rPr>
          <w:rFonts w:asciiTheme="minorHAnsi" w:hAnsiTheme="minorHAnsi" w:cstheme="minorHAnsi"/>
          <w:bCs/>
        </w:rPr>
      </w:pPr>
      <w:r w:rsidRPr="00CF7B03">
        <w:rPr>
          <w:rFonts w:asciiTheme="minorHAnsi" w:hAnsiTheme="minorHAnsi" w:cstheme="minorHAnsi"/>
          <w:bCs/>
        </w:rPr>
        <w:t xml:space="preserve">Daň z přidané hodnoty je významným a relativně stabilním zdrojem veřejných rozpočtů, </w:t>
      </w:r>
      <w:r w:rsidR="00E8789F" w:rsidRPr="00CF7B03">
        <w:rPr>
          <w:rFonts w:asciiTheme="minorHAnsi" w:hAnsiTheme="minorHAnsi" w:cstheme="minorHAnsi"/>
          <w:bCs/>
        </w:rPr>
        <w:t xml:space="preserve">podle </w:t>
      </w:r>
      <w:proofErr w:type="spellStart"/>
      <w:r w:rsidR="00E8789F" w:rsidRPr="00CF7B03">
        <w:rPr>
          <w:rFonts w:asciiTheme="minorHAnsi" w:hAnsiTheme="minorHAnsi" w:cstheme="minorHAnsi"/>
          <w:bCs/>
        </w:rPr>
        <w:t>European</w:t>
      </w:r>
      <w:proofErr w:type="spellEnd"/>
      <w:r w:rsidR="00E8789F" w:rsidRPr="00CF7B03">
        <w:rPr>
          <w:rFonts w:asciiTheme="minorHAnsi" w:hAnsiTheme="minorHAnsi" w:cstheme="minorHAnsi"/>
          <w:bCs/>
        </w:rPr>
        <w:t xml:space="preserve"> </w:t>
      </w:r>
      <w:proofErr w:type="spellStart"/>
      <w:r w:rsidR="00E8789F" w:rsidRPr="00CF7B03">
        <w:rPr>
          <w:rFonts w:asciiTheme="minorHAnsi" w:hAnsiTheme="minorHAnsi" w:cstheme="minorHAnsi"/>
          <w:bCs/>
        </w:rPr>
        <w:t>Commission</w:t>
      </w:r>
      <w:proofErr w:type="spellEnd"/>
      <w:r w:rsidR="00E8789F" w:rsidRPr="00CF7B03">
        <w:rPr>
          <w:rFonts w:asciiTheme="minorHAnsi" w:hAnsiTheme="minorHAnsi" w:cstheme="minorHAnsi"/>
          <w:bCs/>
        </w:rPr>
        <w:t xml:space="preserve"> (2012) tvořily v roce 2010 </w:t>
      </w:r>
      <w:r w:rsidRPr="00CF7B03">
        <w:rPr>
          <w:rFonts w:asciiTheme="minorHAnsi" w:hAnsiTheme="minorHAnsi" w:cstheme="minorHAnsi"/>
          <w:bCs/>
        </w:rPr>
        <w:t xml:space="preserve">v členských státech EU výnosy z DPH </w:t>
      </w:r>
      <w:r w:rsidR="00E8789F" w:rsidRPr="00CF7B03">
        <w:rPr>
          <w:rFonts w:asciiTheme="minorHAnsi" w:hAnsiTheme="minorHAnsi" w:cstheme="minorHAnsi"/>
          <w:bCs/>
        </w:rPr>
        <w:t>v průměru kolem 7</w:t>
      </w:r>
      <w:r w:rsidR="00B13377" w:rsidRPr="00CF7B03">
        <w:rPr>
          <w:rFonts w:asciiTheme="minorHAnsi" w:hAnsiTheme="minorHAnsi" w:cstheme="minorHAnsi"/>
          <w:bCs/>
        </w:rPr>
        <w:t xml:space="preserve"> </w:t>
      </w:r>
      <w:r w:rsidR="00E8789F" w:rsidRPr="00CF7B03">
        <w:rPr>
          <w:rFonts w:asciiTheme="minorHAnsi" w:hAnsiTheme="minorHAnsi" w:cstheme="minorHAnsi"/>
          <w:bCs/>
        </w:rPr>
        <w:t>% HDP a 20</w:t>
      </w:r>
      <w:r w:rsidR="00B13377" w:rsidRPr="00CF7B03">
        <w:rPr>
          <w:rFonts w:asciiTheme="minorHAnsi" w:hAnsiTheme="minorHAnsi" w:cstheme="minorHAnsi"/>
          <w:bCs/>
        </w:rPr>
        <w:t xml:space="preserve"> </w:t>
      </w:r>
      <w:r w:rsidR="00E8789F" w:rsidRPr="00CF7B03">
        <w:rPr>
          <w:rFonts w:asciiTheme="minorHAnsi" w:hAnsiTheme="minorHAnsi" w:cstheme="minorHAnsi"/>
          <w:bCs/>
        </w:rPr>
        <w:t>% celkových daňových výnosů. V České republice jsou příjmy z DPH rovny 7</w:t>
      </w:r>
      <w:r w:rsidR="00B13377" w:rsidRPr="00CF7B03">
        <w:rPr>
          <w:rFonts w:asciiTheme="minorHAnsi" w:hAnsiTheme="minorHAnsi" w:cstheme="minorHAnsi"/>
          <w:bCs/>
        </w:rPr>
        <w:t> </w:t>
      </w:r>
      <w:r w:rsidR="00E8789F" w:rsidRPr="00CF7B03">
        <w:rPr>
          <w:rFonts w:asciiTheme="minorHAnsi" w:hAnsiTheme="minorHAnsi" w:cstheme="minorHAnsi"/>
          <w:bCs/>
        </w:rPr>
        <w:t>% HDP a podílí se 20,6</w:t>
      </w:r>
      <w:r w:rsidR="00B13377" w:rsidRPr="00CF7B03">
        <w:rPr>
          <w:rFonts w:asciiTheme="minorHAnsi" w:hAnsiTheme="minorHAnsi" w:cstheme="minorHAnsi"/>
          <w:bCs/>
        </w:rPr>
        <w:t> </w:t>
      </w:r>
      <w:r w:rsidR="00E8789F" w:rsidRPr="00CF7B03">
        <w:rPr>
          <w:rFonts w:asciiTheme="minorHAnsi" w:hAnsiTheme="minorHAnsi" w:cstheme="minorHAnsi"/>
          <w:bCs/>
        </w:rPr>
        <w:t xml:space="preserve">% na celkových daňových příjmech. DPH </w:t>
      </w:r>
      <w:r w:rsidR="008564F0" w:rsidRPr="00CF7B03">
        <w:rPr>
          <w:rFonts w:asciiTheme="minorHAnsi" w:hAnsiTheme="minorHAnsi" w:cstheme="minorHAnsi"/>
          <w:bCs/>
        </w:rPr>
        <w:t xml:space="preserve">byla zavedena již ve více než 130 zemích světa </w:t>
      </w:r>
      <w:r w:rsidR="005056EF" w:rsidRPr="00CF7B03">
        <w:rPr>
          <w:rFonts w:asciiTheme="minorHAnsi" w:hAnsiTheme="minorHAnsi" w:cstheme="minorHAnsi"/>
          <w:bCs/>
        </w:rPr>
        <w:t>a díky své neutralitě z hlediska volby spotřebitelů i výrobců, a tedy menším distorzním účinkům</w:t>
      </w:r>
      <w:r w:rsidR="00893007" w:rsidRPr="00CF7B03">
        <w:rPr>
          <w:rFonts w:asciiTheme="minorHAnsi" w:hAnsiTheme="minorHAnsi" w:cstheme="minorHAnsi"/>
          <w:bCs/>
        </w:rPr>
        <w:t>,</w:t>
      </w:r>
      <w:r w:rsidR="005056EF" w:rsidRPr="00CF7B03">
        <w:rPr>
          <w:rFonts w:asciiTheme="minorHAnsi" w:hAnsiTheme="minorHAnsi" w:cstheme="minorHAnsi"/>
          <w:bCs/>
        </w:rPr>
        <w:t xml:space="preserve"> je upřednostňována před daněmi z příjmů. Mezi výhody DPH bývá tradičně řazena kromě vnitřní neutrality, možnosti zdaňovat služby, výhodnosti pro mezinárodní obchod i odolnost proti daňovým únikům</w:t>
      </w:r>
      <w:r w:rsidR="006110B0" w:rsidRPr="00CF7B03">
        <w:rPr>
          <w:rFonts w:asciiTheme="minorHAnsi" w:hAnsiTheme="minorHAnsi" w:cstheme="minorHAnsi"/>
          <w:bCs/>
        </w:rPr>
        <w:t xml:space="preserve"> (Kubátová, 2010)</w:t>
      </w:r>
      <w:r w:rsidR="005056EF" w:rsidRPr="00CF7B03">
        <w:rPr>
          <w:rFonts w:asciiTheme="minorHAnsi" w:hAnsiTheme="minorHAnsi" w:cstheme="minorHAnsi"/>
          <w:bCs/>
        </w:rPr>
        <w:t xml:space="preserve">. </w:t>
      </w:r>
      <w:r w:rsidR="003D1510" w:rsidRPr="00CF7B03">
        <w:rPr>
          <w:rFonts w:asciiTheme="minorHAnsi" w:hAnsiTheme="minorHAnsi" w:cstheme="minorHAnsi"/>
          <w:bCs/>
        </w:rPr>
        <w:t>P</w:t>
      </w:r>
      <w:r w:rsidR="005056EF" w:rsidRPr="00CF7B03">
        <w:rPr>
          <w:rFonts w:asciiTheme="minorHAnsi" w:hAnsiTheme="minorHAnsi" w:cstheme="minorHAnsi"/>
          <w:bCs/>
        </w:rPr>
        <w:t xml:space="preserve">oslední jmenovaná výhoda </w:t>
      </w:r>
      <w:r w:rsidR="003D1510" w:rsidRPr="00CF7B03">
        <w:rPr>
          <w:rFonts w:asciiTheme="minorHAnsi" w:hAnsiTheme="minorHAnsi" w:cstheme="minorHAnsi"/>
          <w:bCs/>
        </w:rPr>
        <w:t xml:space="preserve">však v </w:t>
      </w:r>
      <w:r w:rsidR="007340E8" w:rsidRPr="00CF7B03">
        <w:rPr>
          <w:rFonts w:asciiTheme="minorHAnsi" w:hAnsiTheme="minorHAnsi" w:cstheme="minorHAnsi"/>
          <w:bCs/>
        </w:rPr>
        <w:t>minulých</w:t>
      </w:r>
      <w:r w:rsidR="003D1510" w:rsidRPr="00CF7B03">
        <w:rPr>
          <w:rFonts w:asciiTheme="minorHAnsi" w:hAnsiTheme="minorHAnsi" w:cstheme="minorHAnsi"/>
          <w:bCs/>
        </w:rPr>
        <w:t xml:space="preserve"> deseti letech </w:t>
      </w:r>
      <w:r w:rsidR="005056EF" w:rsidRPr="00CF7B03">
        <w:rPr>
          <w:rFonts w:asciiTheme="minorHAnsi" w:hAnsiTheme="minorHAnsi" w:cstheme="minorHAnsi"/>
          <w:bCs/>
        </w:rPr>
        <w:t>přestává platit, protože se objevují nové druhy daňových úniků, tzv. kolotočové podvody, které dosahují značn</w:t>
      </w:r>
      <w:r w:rsidR="00893007" w:rsidRPr="00CF7B03">
        <w:rPr>
          <w:rFonts w:asciiTheme="minorHAnsi" w:hAnsiTheme="minorHAnsi" w:cstheme="minorHAnsi"/>
          <w:bCs/>
        </w:rPr>
        <w:t>é výše</w:t>
      </w:r>
      <w:r w:rsidR="005056EF" w:rsidRPr="00CF7B03">
        <w:rPr>
          <w:rFonts w:asciiTheme="minorHAnsi" w:hAnsiTheme="minorHAnsi" w:cstheme="minorHAnsi"/>
          <w:bCs/>
        </w:rPr>
        <w:t xml:space="preserve">. </w:t>
      </w:r>
      <w:r w:rsidR="000C4DF5" w:rsidRPr="00CF7B03">
        <w:rPr>
          <w:rFonts w:asciiTheme="minorHAnsi" w:hAnsiTheme="minorHAnsi" w:cstheme="minorHAnsi"/>
        </w:rPr>
        <w:t>V rámci celé EU nejsou vyčísleny, ale Velká Británie je např. odhaduje v HMRC (2011) na 1,5 až 2,5</w:t>
      </w:r>
      <w:r w:rsidR="00B13377" w:rsidRPr="00CF7B03">
        <w:rPr>
          <w:rFonts w:asciiTheme="minorHAnsi" w:hAnsiTheme="minorHAnsi" w:cstheme="minorHAnsi"/>
        </w:rPr>
        <w:t> </w:t>
      </w:r>
      <w:r w:rsidR="000C4DF5" w:rsidRPr="00CF7B03">
        <w:rPr>
          <w:rFonts w:asciiTheme="minorHAnsi" w:hAnsiTheme="minorHAnsi" w:cstheme="minorHAnsi"/>
        </w:rPr>
        <w:t xml:space="preserve">% jejích celkových příjmů z DPH. </w:t>
      </w:r>
      <w:r w:rsidR="00F55EA7" w:rsidRPr="00CF7B03">
        <w:rPr>
          <w:rFonts w:asciiTheme="minorHAnsi" w:hAnsiTheme="minorHAnsi" w:cstheme="minorHAnsi"/>
        </w:rPr>
        <w:t>Podle tiskového prohlášení Evropské komise</w:t>
      </w:r>
      <w:r w:rsidR="00F55EA7" w:rsidRPr="00CF7B03">
        <w:rPr>
          <w:rStyle w:val="Znakapoznpodarou"/>
          <w:rFonts w:asciiTheme="minorHAnsi" w:hAnsiTheme="minorHAnsi" w:cstheme="minorHAnsi"/>
        </w:rPr>
        <w:footnoteReference w:id="1"/>
      </w:r>
      <w:r w:rsidR="00F55EA7" w:rsidRPr="00CF7B03">
        <w:rPr>
          <w:rFonts w:asciiTheme="minorHAnsi" w:hAnsiTheme="minorHAnsi" w:cstheme="minorHAnsi"/>
        </w:rPr>
        <w:t xml:space="preserve"> došlo mezi červnem 2008 a prosincem 2009 k úniku na DPH při podvodném prodeji emisních povolenek ve výši cca 5 mld. EUR.</w:t>
      </w:r>
      <w:r w:rsidR="000C4DF5" w:rsidRPr="00CF7B03">
        <w:rPr>
          <w:rFonts w:asciiTheme="minorHAnsi" w:hAnsiTheme="minorHAnsi" w:cstheme="minorHAnsi"/>
          <w:bCs/>
        </w:rPr>
        <w:t xml:space="preserve"> </w:t>
      </w:r>
      <w:r w:rsidR="007340E8" w:rsidRPr="00CF7B03">
        <w:rPr>
          <w:rFonts w:asciiTheme="minorHAnsi" w:hAnsiTheme="minorHAnsi" w:cstheme="minorHAnsi"/>
          <w:bCs/>
        </w:rPr>
        <w:t xml:space="preserve">Od roku 2006 vyhlásila Evropská komise strategii boje proti daňovým únikům a v jejím rámci jsou prováděny konzultace k tomuto tématu a navrhovány různé legislativní změny napomáhající k potírání </w:t>
      </w:r>
      <w:r w:rsidR="000C4DF5" w:rsidRPr="00CF7B03">
        <w:rPr>
          <w:rFonts w:asciiTheme="minorHAnsi" w:hAnsiTheme="minorHAnsi" w:cstheme="minorHAnsi"/>
          <w:bCs/>
        </w:rPr>
        <w:t xml:space="preserve">daňových podvodů. </w:t>
      </w:r>
    </w:p>
    <w:p w:rsidR="00CA0CAF" w:rsidRPr="00CF7B03" w:rsidRDefault="00DB0C06" w:rsidP="007A5C5C">
      <w:pPr>
        <w:spacing w:after="120"/>
        <w:jc w:val="both"/>
        <w:rPr>
          <w:rFonts w:asciiTheme="minorHAnsi" w:hAnsiTheme="minorHAnsi" w:cstheme="minorHAnsi"/>
          <w:bCs/>
        </w:rPr>
      </w:pPr>
      <w:r w:rsidRPr="00CF7B03">
        <w:rPr>
          <w:rFonts w:asciiTheme="minorHAnsi" w:hAnsiTheme="minorHAnsi" w:cstheme="minorHAnsi"/>
          <w:bCs/>
        </w:rPr>
        <w:t>Měření</w:t>
      </w:r>
      <w:r w:rsidR="00F55EA7" w:rsidRPr="00CF7B03">
        <w:rPr>
          <w:rFonts w:asciiTheme="minorHAnsi" w:hAnsiTheme="minorHAnsi" w:cstheme="minorHAnsi"/>
          <w:bCs/>
        </w:rPr>
        <w:t xml:space="preserve"> úniků v DPH je náročn</w:t>
      </w:r>
      <w:r w:rsidR="00893007" w:rsidRPr="00CF7B03">
        <w:rPr>
          <w:rFonts w:asciiTheme="minorHAnsi" w:hAnsiTheme="minorHAnsi" w:cstheme="minorHAnsi"/>
          <w:bCs/>
        </w:rPr>
        <w:t>é</w:t>
      </w:r>
      <w:r w:rsidR="00F55EA7" w:rsidRPr="00CF7B03">
        <w:rPr>
          <w:rFonts w:asciiTheme="minorHAnsi" w:hAnsiTheme="minorHAnsi" w:cstheme="minorHAnsi"/>
          <w:bCs/>
        </w:rPr>
        <w:t xml:space="preserve"> a jednou z cest je odhad rozdílu mezi skutečnou a te</w:t>
      </w:r>
      <w:r w:rsidRPr="00CF7B03">
        <w:rPr>
          <w:rFonts w:asciiTheme="minorHAnsi" w:hAnsiTheme="minorHAnsi" w:cstheme="minorHAnsi"/>
          <w:bCs/>
        </w:rPr>
        <w:t>o</w:t>
      </w:r>
      <w:r w:rsidR="00F55EA7" w:rsidRPr="00CF7B03">
        <w:rPr>
          <w:rFonts w:asciiTheme="minorHAnsi" w:hAnsiTheme="minorHAnsi" w:cstheme="minorHAnsi"/>
          <w:bCs/>
        </w:rPr>
        <w:t xml:space="preserve">retickou daňovou povinností k DPH. </w:t>
      </w:r>
      <w:r w:rsidR="00CA0CAF" w:rsidRPr="00CF7B03">
        <w:rPr>
          <w:rFonts w:asciiTheme="minorHAnsi" w:hAnsiTheme="minorHAnsi" w:cstheme="minorHAnsi"/>
          <w:bCs/>
        </w:rPr>
        <w:t>Skutečnou daňovou povinností může být</w:t>
      </w:r>
      <w:bookmarkStart w:id="0" w:name="_GoBack"/>
      <w:bookmarkEnd w:id="0"/>
      <w:r w:rsidR="00CA0CAF" w:rsidRPr="00CF7B03">
        <w:rPr>
          <w:rFonts w:asciiTheme="minorHAnsi" w:hAnsiTheme="minorHAnsi" w:cstheme="minorHAnsi"/>
          <w:bCs/>
        </w:rPr>
        <w:t xml:space="preserve"> myšlena daň přiznaná daňovými subjekty nebo pouze daň skutečně vybraná správci daně. Tyto dvě veličiny se liší o daň sice přiznanou </w:t>
      </w:r>
      <w:r w:rsidR="00816AD6" w:rsidRPr="00CF7B03">
        <w:rPr>
          <w:rFonts w:asciiTheme="minorHAnsi" w:hAnsiTheme="minorHAnsi" w:cstheme="minorHAnsi"/>
          <w:bCs/>
        </w:rPr>
        <w:t xml:space="preserve">daňovým subjektem </w:t>
      </w:r>
      <w:r w:rsidR="00CA0CAF" w:rsidRPr="00CF7B03">
        <w:rPr>
          <w:rFonts w:asciiTheme="minorHAnsi" w:hAnsiTheme="minorHAnsi" w:cstheme="minorHAnsi"/>
          <w:bCs/>
        </w:rPr>
        <w:t xml:space="preserve">nebo dodatečně doměřenou finančním úřadem, ale nezaplacenou např. z důvodu platební neschopnosti nebo insolvence. </w:t>
      </w:r>
      <w:r w:rsidR="00816AD6" w:rsidRPr="00CF7B03">
        <w:rPr>
          <w:rFonts w:asciiTheme="minorHAnsi" w:hAnsiTheme="minorHAnsi" w:cstheme="minorHAnsi"/>
          <w:bCs/>
        </w:rPr>
        <w:t>Ve většině dále uvedených zdrojů i v disertační práci bude skutečná daňová povinnost chápána jako daň vybraná správci daně vztahující se k danému roku. Tato daň je z hotovostních příjmů odvozena</w:t>
      </w:r>
      <w:r w:rsidR="00CA0CAF" w:rsidRPr="00CF7B03">
        <w:rPr>
          <w:rFonts w:asciiTheme="minorHAnsi" w:hAnsiTheme="minorHAnsi" w:cstheme="minorHAnsi"/>
          <w:bCs/>
        </w:rPr>
        <w:t xml:space="preserve"> podle metodiky </w:t>
      </w:r>
      <w:proofErr w:type="spellStart"/>
      <w:r w:rsidR="00CA0CAF" w:rsidRPr="00CF7B03">
        <w:rPr>
          <w:rFonts w:asciiTheme="minorHAnsi" w:hAnsiTheme="minorHAnsi" w:cstheme="minorHAnsi"/>
          <w:bCs/>
        </w:rPr>
        <w:t>Eurostatu</w:t>
      </w:r>
      <w:proofErr w:type="spellEnd"/>
      <w:r w:rsidR="00816AD6" w:rsidRPr="00CF7B03">
        <w:rPr>
          <w:rFonts w:asciiTheme="minorHAnsi" w:hAnsiTheme="minorHAnsi" w:cstheme="minorHAnsi"/>
          <w:bCs/>
        </w:rPr>
        <w:t>, tzv.</w:t>
      </w:r>
      <w:r w:rsidR="00CA0CAF" w:rsidRPr="00CF7B03">
        <w:rPr>
          <w:rFonts w:asciiTheme="minorHAnsi" w:hAnsiTheme="minorHAnsi" w:cstheme="minorHAnsi"/>
          <w:bCs/>
        </w:rPr>
        <w:t xml:space="preserve"> </w:t>
      </w:r>
      <w:r w:rsidR="00816AD6" w:rsidRPr="00CF7B03">
        <w:rPr>
          <w:rFonts w:asciiTheme="minorHAnsi" w:hAnsiTheme="minorHAnsi" w:cstheme="minorHAnsi"/>
          <w:bCs/>
        </w:rPr>
        <w:t>přístupem časově upraveného hotovostního plnění</w:t>
      </w:r>
      <w:r w:rsidR="00893007" w:rsidRPr="00CF7B03">
        <w:rPr>
          <w:rFonts w:asciiTheme="minorHAnsi" w:hAnsiTheme="minorHAnsi" w:cstheme="minorHAnsi"/>
          <w:bCs/>
        </w:rPr>
        <w:t xml:space="preserve"> (</w:t>
      </w:r>
      <w:r w:rsidR="00893007" w:rsidRPr="00CF7B03">
        <w:rPr>
          <w:rFonts w:asciiTheme="minorHAnsi" w:hAnsiTheme="minorHAnsi" w:cstheme="minorHAnsi"/>
        </w:rPr>
        <w:t>Hrdlička a kol, 2010)</w:t>
      </w:r>
      <w:r w:rsidR="00816AD6" w:rsidRPr="00CF7B03">
        <w:rPr>
          <w:rFonts w:asciiTheme="minorHAnsi" w:hAnsiTheme="minorHAnsi" w:cstheme="minorHAnsi"/>
          <w:bCs/>
        </w:rPr>
        <w:t>.</w:t>
      </w:r>
      <w:r w:rsidR="00816AD6" w:rsidRPr="00CF7B03">
        <w:rPr>
          <w:rStyle w:val="Znakapoznpodarou"/>
          <w:rFonts w:asciiTheme="minorHAnsi" w:hAnsiTheme="minorHAnsi" w:cstheme="minorHAnsi"/>
          <w:bCs/>
        </w:rPr>
        <w:footnoteReference w:id="2"/>
      </w:r>
      <w:r w:rsidR="00CA0CAF" w:rsidRPr="00CF7B03">
        <w:rPr>
          <w:rFonts w:asciiTheme="minorHAnsi" w:hAnsiTheme="minorHAnsi" w:cstheme="minorHAnsi"/>
          <w:bCs/>
        </w:rPr>
        <w:t xml:space="preserve"> </w:t>
      </w:r>
    </w:p>
    <w:p w:rsidR="00621E5F" w:rsidRPr="00CF7B03" w:rsidRDefault="007F4825" w:rsidP="007A5C5C">
      <w:pPr>
        <w:spacing w:after="120"/>
        <w:jc w:val="both"/>
        <w:rPr>
          <w:rFonts w:asciiTheme="minorHAnsi" w:hAnsiTheme="minorHAnsi" w:cstheme="minorHAnsi"/>
          <w:bCs/>
        </w:rPr>
      </w:pPr>
      <w:r w:rsidRPr="00CF7B03">
        <w:rPr>
          <w:rFonts w:asciiTheme="minorHAnsi" w:hAnsiTheme="minorHAnsi" w:cstheme="minorHAnsi"/>
          <w:bCs/>
        </w:rPr>
        <w:t xml:space="preserve">Zjišťování velikosti daňové mezery je součástí tzv. risk managementu daňové správy, jehož prostřednictvím se určují nejvíce rizikové skupiny daňových subjektů. </w:t>
      </w:r>
      <w:r w:rsidR="00342B5B" w:rsidRPr="00CF7B03">
        <w:rPr>
          <w:rFonts w:asciiTheme="minorHAnsi" w:hAnsiTheme="minorHAnsi" w:cstheme="minorHAnsi"/>
          <w:bCs/>
        </w:rPr>
        <w:t>Pravidelně měří daňovou mezeru a zároveň zveřejňují její odhady např. USA</w:t>
      </w:r>
      <w:r w:rsidR="00737B12" w:rsidRPr="00CF7B03">
        <w:rPr>
          <w:rFonts w:asciiTheme="minorHAnsi" w:hAnsiTheme="minorHAnsi" w:cstheme="minorHAnsi"/>
          <w:bCs/>
        </w:rPr>
        <w:t xml:space="preserve"> (US </w:t>
      </w:r>
      <w:proofErr w:type="spellStart"/>
      <w:r w:rsidR="00737B12" w:rsidRPr="00CF7B03">
        <w:rPr>
          <w:rFonts w:asciiTheme="minorHAnsi" w:hAnsiTheme="minorHAnsi" w:cstheme="minorHAnsi"/>
          <w:bCs/>
        </w:rPr>
        <w:t>Internal</w:t>
      </w:r>
      <w:proofErr w:type="spellEnd"/>
      <w:r w:rsidR="00737B12" w:rsidRPr="00CF7B03">
        <w:rPr>
          <w:rFonts w:asciiTheme="minorHAnsi" w:hAnsiTheme="minorHAnsi" w:cstheme="minorHAnsi"/>
          <w:bCs/>
        </w:rPr>
        <w:t xml:space="preserve"> </w:t>
      </w:r>
      <w:proofErr w:type="spellStart"/>
      <w:r w:rsidR="00737B12" w:rsidRPr="00CF7B03">
        <w:rPr>
          <w:rFonts w:asciiTheme="minorHAnsi" w:hAnsiTheme="minorHAnsi" w:cstheme="minorHAnsi"/>
          <w:bCs/>
        </w:rPr>
        <w:t>Revenue</w:t>
      </w:r>
      <w:proofErr w:type="spellEnd"/>
      <w:r w:rsidR="00737B12" w:rsidRPr="00CF7B03">
        <w:rPr>
          <w:rFonts w:asciiTheme="minorHAnsi" w:hAnsiTheme="minorHAnsi" w:cstheme="minorHAnsi"/>
          <w:bCs/>
        </w:rPr>
        <w:t xml:space="preserve"> </w:t>
      </w:r>
      <w:proofErr w:type="spellStart"/>
      <w:r w:rsidR="00737B12" w:rsidRPr="00CF7B03">
        <w:rPr>
          <w:rFonts w:asciiTheme="minorHAnsi" w:hAnsiTheme="minorHAnsi" w:cstheme="minorHAnsi"/>
          <w:bCs/>
        </w:rPr>
        <w:t>Service</w:t>
      </w:r>
      <w:proofErr w:type="spellEnd"/>
      <w:r w:rsidR="00737B12" w:rsidRPr="00CF7B03">
        <w:rPr>
          <w:rFonts w:asciiTheme="minorHAnsi" w:hAnsiTheme="minorHAnsi" w:cstheme="minorHAnsi"/>
          <w:bCs/>
        </w:rPr>
        <w:t>, 1979)</w:t>
      </w:r>
      <w:r w:rsidR="00342B5B" w:rsidRPr="00CF7B03">
        <w:rPr>
          <w:rFonts w:asciiTheme="minorHAnsi" w:hAnsiTheme="minorHAnsi" w:cstheme="minorHAnsi"/>
          <w:bCs/>
        </w:rPr>
        <w:t>, Velká Británie</w:t>
      </w:r>
      <w:r w:rsidR="00737B12" w:rsidRPr="00CF7B03">
        <w:rPr>
          <w:rFonts w:asciiTheme="minorHAnsi" w:hAnsiTheme="minorHAnsi" w:cstheme="minorHAnsi"/>
          <w:bCs/>
        </w:rPr>
        <w:t xml:space="preserve"> (HMRC, 2011)</w:t>
      </w:r>
      <w:r w:rsidR="00342B5B" w:rsidRPr="00CF7B03">
        <w:rPr>
          <w:rFonts w:asciiTheme="minorHAnsi" w:hAnsiTheme="minorHAnsi" w:cstheme="minorHAnsi"/>
          <w:bCs/>
        </w:rPr>
        <w:t>, Švédsko</w:t>
      </w:r>
      <w:r w:rsidR="00737B12" w:rsidRPr="00CF7B03">
        <w:rPr>
          <w:rFonts w:asciiTheme="minorHAnsi" w:hAnsiTheme="minorHAnsi" w:cstheme="minorHAnsi"/>
          <w:bCs/>
        </w:rPr>
        <w:t xml:space="preserve"> (</w:t>
      </w:r>
      <w:proofErr w:type="spellStart"/>
      <w:r w:rsidR="00737B12" w:rsidRPr="00CF7B03">
        <w:rPr>
          <w:rFonts w:asciiTheme="minorHAnsi" w:hAnsiTheme="minorHAnsi" w:cstheme="minorHAnsi"/>
          <w:bCs/>
        </w:rPr>
        <w:t>Hansson</w:t>
      </w:r>
      <w:proofErr w:type="spellEnd"/>
      <w:r w:rsidR="00737B12" w:rsidRPr="00CF7B03">
        <w:rPr>
          <w:rFonts w:asciiTheme="minorHAnsi" w:hAnsiTheme="minorHAnsi" w:cstheme="minorHAnsi"/>
          <w:bCs/>
        </w:rPr>
        <w:t xml:space="preserve"> a </w:t>
      </w:r>
      <w:proofErr w:type="spellStart"/>
      <w:r w:rsidR="00737B12" w:rsidRPr="00CF7B03">
        <w:rPr>
          <w:rFonts w:asciiTheme="minorHAnsi" w:hAnsiTheme="minorHAnsi" w:cstheme="minorHAnsi"/>
          <w:bCs/>
        </w:rPr>
        <w:t>Wallberg</w:t>
      </w:r>
      <w:proofErr w:type="spellEnd"/>
      <w:r w:rsidR="00737B12" w:rsidRPr="00CF7B03">
        <w:rPr>
          <w:rFonts w:asciiTheme="minorHAnsi" w:hAnsiTheme="minorHAnsi" w:cstheme="minorHAnsi"/>
          <w:bCs/>
        </w:rPr>
        <w:t>, 2008)</w:t>
      </w:r>
      <w:r w:rsidR="00342B5B" w:rsidRPr="00CF7B03">
        <w:rPr>
          <w:rFonts w:asciiTheme="minorHAnsi" w:hAnsiTheme="minorHAnsi" w:cstheme="minorHAnsi"/>
          <w:bCs/>
        </w:rPr>
        <w:t xml:space="preserve"> nebo Itálie</w:t>
      </w:r>
      <w:r w:rsidR="003908DC" w:rsidRPr="00CF7B03">
        <w:rPr>
          <w:rFonts w:asciiTheme="minorHAnsi" w:hAnsiTheme="minorHAnsi" w:cstheme="minorHAnsi"/>
          <w:bCs/>
        </w:rPr>
        <w:t xml:space="preserve"> </w:t>
      </w:r>
      <w:r w:rsidR="00FC1822" w:rsidRPr="00CF7B03">
        <w:rPr>
          <w:rFonts w:asciiTheme="minorHAnsi" w:hAnsiTheme="minorHAnsi" w:cstheme="minorHAnsi"/>
          <w:bCs/>
        </w:rPr>
        <w:t>(</w:t>
      </w:r>
      <w:proofErr w:type="spellStart"/>
      <w:r w:rsidR="00982B59" w:rsidRPr="00CF7B03">
        <w:rPr>
          <w:rFonts w:asciiTheme="minorHAnsi" w:hAnsiTheme="minorHAnsi" w:cstheme="minorHAnsi"/>
          <w:bCs/>
        </w:rPr>
        <w:t>Mar</w:t>
      </w:r>
      <w:r w:rsidR="001A2D7E" w:rsidRPr="00CF7B03">
        <w:rPr>
          <w:rFonts w:asciiTheme="minorHAnsi" w:hAnsiTheme="minorHAnsi" w:cstheme="minorHAnsi"/>
          <w:bCs/>
        </w:rPr>
        <w:t>i</w:t>
      </w:r>
      <w:r w:rsidR="00982B59" w:rsidRPr="00CF7B03">
        <w:rPr>
          <w:rFonts w:asciiTheme="minorHAnsi" w:hAnsiTheme="minorHAnsi" w:cstheme="minorHAnsi"/>
          <w:bCs/>
        </w:rPr>
        <w:t>giliani</w:t>
      </w:r>
      <w:proofErr w:type="spellEnd"/>
      <w:r w:rsidR="00982B59" w:rsidRPr="00CF7B03">
        <w:rPr>
          <w:rFonts w:asciiTheme="minorHAnsi" w:hAnsiTheme="minorHAnsi" w:cstheme="minorHAnsi"/>
          <w:bCs/>
        </w:rPr>
        <w:t xml:space="preserve"> a </w:t>
      </w:r>
      <w:proofErr w:type="spellStart"/>
      <w:r w:rsidR="00982B59" w:rsidRPr="00CF7B03">
        <w:rPr>
          <w:rFonts w:asciiTheme="minorHAnsi" w:hAnsiTheme="minorHAnsi" w:cstheme="minorHAnsi"/>
          <w:bCs/>
        </w:rPr>
        <w:t>Pisani</w:t>
      </w:r>
      <w:proofErr w:type="spellEnd"/>
      <w:r w:rsidR="00FC1822" w:rsidRPr="00CF7B03">
        <w:rPr>
          <w:rFonts w:asciiTheme="minorHAnsi" w:hAnsiTheme="minorHAnsi" w:cstheme="minorHAnsi"/>
          <w:bCs/>
        </w:rPr>
        <w:t>,</w:t>
      </w:r>
      <w:r w:rsidR="00982B59" w:rsidRPr="00CF7B03">
        <w:rPr>
          <w:rFonts w:asciiTheme="minorHAnsi" w:hAnsiTheme="minorHAnsi" w:cstheme="minorHAnsi"/>
          <w:bCs/>
        </w:rPr>
        <w:t xml:space="preserve"> 2007)</w:t>
      </w:r>
      <w:r w:rsidR="00342B5B" w:rsidRPr="00CF7B03">
        <w:rPr>
          <w:rFonts w:asciiTheme="minorHAnsi" w:hAnsiTheme="minorHAnsi" w:cstheme="minorHAnsi"/>
          <w:bCs/>
        </w:rPr>
        <w:t xml:space="preserve">. </w:t>
      </w:r>
      <w:r w:rsidR="004112D7" w:rsidRPr="00CF7B03">
        <w:rPr>
          <w:rFonts w:asciiTheme="minorHAnsi" w:hAnsiTheme="minorHAnsi" w:cstheme="minorHAnsi"/>
          <w:bCs/>
        </w:rPr>
        <w:t xml:space="preserve">Odhady daňové mezery slouží k lepší představě správců daně o potenciální daňové </w:t>
      </w:r>
      <w:r w:rsidR="003908DC" w:rsidRPr="00CF7B03">
        <w:rPr>
          <w:rFonts w:asciiTheme="minorHAnsi" w:hAnsiTheme="minorHAnsi" w:cstheme="minorHAnsi"/>
          <w:bCs/>
        </w:rPr>
        <w:t>povinnosti, a pokud</w:t>
      </w:r>
      <w:r w:rsidR="004112D7" w:rsidRPr="00CF7B03">
        <w:rPr>
          <w:rFonts w:asciiTheme="minorHAnsi" w:hAnsiTheme="minorHAnsi" w:cstheme="minorHAnsi"/>
          <w:bCs/>
        </w:rPr>
        <w:t xml:space="preserve"> je tato mezera ještě dále členěna podle typů </w:t>
      </w:r>
      <w:r w:rsidR="00811743" w:rsidRPr="00CF7B03">
        <w:rPr>
          <w:rFonts w:asciiTheme="minorHAnsi" w:hAnsiTheme="minorHAnsi" w:cstheme="minorHAnsi"/>
          <w:bCs/>
        </w:rPr>
        <w:t xml:space="preserve">subjektu a rizikového chování jako například ve Velké Británii nebo Švédsku, slouží i k </w:t>
      </w:r>
      <w:r w:rsidR="00C2569E" w:rsidRPr="00CF7B03">
        <w:rPr>
          <w:rFonts w:asciiTheme="minorHAnsi" w:hAnsiTheme="minorHAnsi" w:cstheme="minorHAnsi"/>
          <w:bCs/>
        </w:rPr>
        <w:t>lepší</w:t>
      </w:r>
      <w:r w:rsidR="004112D7" w:rsidRPr="00CF7B03">
        <w:rPr>
          <w:rFonts w:asciiTheme="minorHAnsi" w:hAnsiTheme="minorHAnsi" w:cstheme="minorHAnsi"/>
          <w:bCs/>
        </w:rPr>
        <w:t xml:space="preserve"> alokaci zdrojů daňové správy</w:t>
      </w:r>
      <w:r w:rsidR="00811743" w:rsidRPr="00CF7B03">
        <w:rPr>
          <w:rFonts w:asciiTheme="minorHAnsi" w:hAnsiTheme="minorHAnsi" w:cstheme="minorHAnsi"/>
          <w:bCs/>
        </w:rPr>
        <w:t xml:space="preserve"> při vybírání daní</w:t>
      </w:r>
      <w:r w:rsidR="004112D7" w:rsidRPr="00CF7B03">
        <w:rPr>
          <w:rFonts w:asciiTheme="minorHAnsi" w:hAnsiTheme="minorHAnsi" w:cstheme="minorHAnsi"/>
          <w:bCs/>
        </w:rPr>
        <w:t xml:space="preserve">. </w:t>
      </w:r>
      <w:r w:rsidR="00811743" w:rsidRPr="00CF7B03">
        <w:rPr>
          <w:rFonts w:asciiTheme="minorHAnsi" w:hAnsiTheme="minorHAnsi" w:cstheme="minorHAnsi"/>
          <w:bCs/>
        </w:rPr>
        <w:t>Kromě toho může být také měřítkem efektivnosti daňové správy, protože na rozdíl od celkové výše vybrané daně nezávisí na hospodářském cyklu ani změnách daňové legislativy.</w:t>
      </w:r>
      <w:r w:rsidR="00A406B6" w:rsidRPr="00CF7B03">
        <w:rPr>
          <w:rFonts w:asciiTheme="minorHAnsi" w:hAnsiTheme="minorHAnsi" w:cstheme="minorHAnsi"/>
          <w:bCs/>
        </w:rPr>
        <w:t xml:space="preserve"> Pokud se vládě daří daňovou mezeru snižovat, lze předpokládat, že její kvantitativní odhad komunikovaný veřejnosti podpoří pozitivní vnímání spravedlnosti a efektivnosti daňového systému. To potom může zlepšit výběr daní díky větší motivaci daňových subjektů k placení daní a dodržování předpisů.</w:t>
      </w:r>
    </w:p>
    <w:p w:rsidR="007A5C5C" w:rsidRPr="00CF7B03" w:rsidRDefault="003E3D47" w:rsidP="007A5C5C">
      <w:pPr>
        <w:spacing w:after="120"/>
        <w:jc w:val="both"/>
        <w:rPr>
          <w:rFonts w:asciiTheme="minorHAnsi" w:hAnsiTheme="minorHAnsi" w:cstheme="minorHAnsi"/>
          <w:bCs/>
        </w:rPr>
      </w:pPr>
      <w:r w:rsidRPr="00CF7B03">
        <w:rPr>
          <w:rFonts w:asciiTheme="minorHAnsi" w:hAnsiTheme="minorHAnsi" w:cstheme="minorHAnsi"/>
          <w:bCs/>
        </w:rPr>
        <w:t>Měření daňové mezery je však zajímavé i z hlediska teoretického, postupně se např. vyvinula metoda odhadu mezery DPH z tabulek zdrojů a užití v národních účtech</w:t>
      </w:r>
      <w:r w:rsidR="00410A99" w:rsidRPr="00CF7B03">
        <w:rPr>
          <w:rFonts w:asciiTheme="minorHAnsi" w:hAnsiTheme="minorHAnsi" w:cstheme="minorHAnsi"/>
          <w:bCs/>
        </w:rPr>
        <w:t>, o které bude dále podrobněji pojednáno</w:t>
      </w:r>
      <w:r w:rsidRPr="00CF7B03">
        <w:rPr>
          <w:rFonts w:asciiTheme="minorHAnsi" w:hAnsiTheme="minorHAnsi" w:cstheme="minorHAnsi"/>
          <w:bCs/>
        </w:rPr>
        <w:t xml:space="preserve">. </w:t>
      </w:r>
      <w:r w:rsidR="007F4825" w:rsidRPr="00CF7B03">
        <w:rPr>
          <w:rFonts w:asciiTheme="minorHAnsi" w:hAnsiTheme="minorHAnsi" w:cstheme="minorHAnsi"/>
          <w:bCs/>
        </w:rPr>
        <w:t xml:space="preserve">V ČR byla zadána studie na výpočet mezery DPH </w:t>
      </w:r>
      <w:r w:rsidR="007A5C5C" w:rsidRPr="00CF7B03">
        <w:rPr>
          <w:rFonts w:asciiTheme="minorHAnsi" w:hAnsiTheme="minorHAnsi" w:cstheme="minorHAnsi"/>
          <w:bCs/>
        </w:rPr>
        <w:t xml:space="preserve">touto metodou </w:t>
      </w:r>
      <w:r w:rsidR="007F4825" w:rsidRPr="00CF7B03">
        <w:rPr>
          <w:rFonts w:asciiTheme="minorHAnsi" w:hAnsiTheme="minorHAnsi" w:cstheme="minorHAnsi"/>
          <w:bCs/>
        </w:rPr>
        <w:t xml:space="preserve">za posledních několik let společnosti </w:t>
      </w:r>
      <w:proofErr w:type="spellStart"/>
      <w:r w:rsidR="007F4825" w:rsidRPr="00CF7B03">
        <w:rPr>
          <w:rFonts w:asciiTheme="minorHAnsi" w:hAnsiTheme="minorHAnsi" w:cstheme="minorHAnsi"/>
          <w:bCs/>
        </w:rPr>
        <w:t>PriceWaterhouseCoopers</w:t>
      </w:r>
      <w:proofErr w:type="spellEnd"/>
      <w:r w:rsidR="00342B5B" w:rsidRPr="00CF7B03">
        <w:rPr>
          <w:rFonts w:asciiTheme="minorHAnsi" w:hAnsiTheme="minorHAnsi" w:cstheme="minorHAnsi"/>
          <w:bCs/>
        </w:rPr>
        <w:t xml:space="preserve"> (dále jen "PWC")</w:t>
      </w:r>
      <w:r w:rsidR="007F4825" w:rsidRPr="00CF7B03">
        <w:rPr>
          <w:rFonts w:asciiTheme="minorHAnsi" w:hAnsiTheme="minorHAnsi" w:cstheme="minorHAnsi"/>
          <w:bCs/>
        </w:rPr>
        <w:t xml:space="preserve">, jejíž výsledky by měly být zveřejněny v lednu 2013. </w:t>
      </w:r>
      <w:r w:rsidR="007A5C5C" w:rsidRPr="00CF7B03">
        <w:rPr>
          <w:rFonts w:asciiTheme="minorHAnsi" w:hAnsiTheme="minorHAnsi" w:cstheme="minorHAnsi"/>
          <w:bCs/>
        </w:rPr>
        <w:t xml:space="preserve">Zároveň se výpočtem teoretické daňové povinnosti zabývá Český statistický úřad (dále jen "ČSÚ") při bilancování národních účtů. </w:t>
      </w:r>
      <w:r w:rsidR="007F4825" w:rsidRPr="00CF7B03">
        <w:rPr>
          <w:rFonts w:asciiTheme="minorHAnsi" w:hAnsiTheme="minorHAnsi" w:cstheme="minorHAnsi"/>
          <w:bCs/>
        </w:rPr>
        <w:t xml:space="preserve">Na Slovensku </w:t>
      </w:r>
      <w:r w:rsidR="007A5C5C" w:rsidRPr="00CF7B03">
        <w:rPr>
          <w:rFonts w:asciiTheme="minorHAnsi" w:hAnsiTheme="minorHAnsi" w:cstheme="minorHAnsi"/>
          <w:bCs/>
        </w:rPr>
        <w:t xml:space="preserve">byla daňová mezera vypočítána </w:t>
      </w:r>
      <w:r w:rsidR="007D7505" w:rsidRPr="00CF7B03">
        <w:rPr>
          <w:rFonts w:asciiTheme="minorHAnsi" w:hAnsiTheme="minorHAnsi" w:cstheme="minorHAnsi"/>
          <w:bCs/>
        </w:rPr>
        <w:t xml:space="preserve">ve zprávě autorů </w:t>
      </w:r>
      <w:proofErr w:type="spellStart"/>
      <w:r w:rsidR="007D7505" w:rsidRPr="00CF7B03">
        <w:rPr>
          <w:rFonts w:asciiTheme="minorHAnsi" w:hAnsiTheme="minorHAnsi" w:cstheme="minorHAnsi"/>
          <w:bCs/>
        </w:rPr>
        <w:t>Novysedlak</w:t>
      </w:r>
      <w:proofErr w:type="spellEnd"/>
      <w:r w:rsidR="007D7505" w:rsidRPr="00CF7B03">
        <w:rPr>
          <w:rFonts w:asciiTheme="minorHAnsi" w:hAnsiTheme="minorHAnsi" w:cstheme="minorHAnsi"/>
          <w:bCs/>
        </w:rPr>
        <w:t xml:space="preserve"> a </w:t>
      </w:r>
      <w:proofErr w:type="spellStart"/>
      <w:r w:rsidR="007D7505" w:rsidRPr="00CF7B03">
        <w:rPr>
          <w:rFonts w:asciiTheme="minorHAnsi" w:hAnsiTheme="minorHAnsi" w:cstheme="minorHAnsi"/>
          <w:bCs/>
        </w:rPr>
        <w:t>Palkovičová</w:t>
      </w:r>
      <w:proofErr w:type="spellEnd"/>
      <w:r w:rsidR="007D7505" w:rsidRPr="00CF7B03">
        <w:rPr>
          <w:rFonts w:asciiTheme="minorHAnsi" w:hAnsiTheme="minorHAnsi" w:cstheme="minorHAnsi"/>
          <w:bCs/>
        </w:rPr>
        <w:t xml:space="preserve"> (2012)</w:t>
      </w:r>
      <w:r w:rsidR="007A5C5C" w:rsidRPr="00CF7B03">
        <w:rPr>
          <w:rFonts w:asciiTheme="minorHAnsi" w:hAnsiTheme="minorHAnsi" w:cstheme="minorHAnsi"/>
          <w:bCs/>
        </w:rPr>
        <w:t xml:space="preserve">. </w:t>
      </w:r>
      <w:r w:rsidR="000644A1" w:rsidRPr="00CF7B03">
        <w:rPr>
          <w:rFonts w:asciiTheme="minorHAnsi" w:hAnsiTheme="minorHAnsi" w:cstheme="minorHAnsi"/>
          <w:bCs/>
        </w:rPr>
        <w:t xml:space="preserve">V rámci boje s daňovými úniky v EU byl pověřen Center </w:t>
      </w:r>
      <w:proofErr w:type="spellStart"/>
      <w:r w:rsidR="000644A1" w:rsidRPr="00CF7B03">
        <w:rPr>
          <w:rFonts w:asciiTheme="minorHAnsi" w:hAnsiTheme="minorHAnsi" w:cstheme="minorHAnsi"/>
          <w:bCs/>
        </w:rPr>
        <w:t>for</w:t>
      </w:r>
      <w:proofErr w:type="spellEnd"/>
      <w:r w:rsidR="000644A1" w:rsidRPr="00CF7B03">
        <w:rPr>
          <w:rFonts w:asciiTheme="minorHAnsi" w:hAnsiTheme="minorHAnsi" w:cstheme="minorHAnsi"/>
          <w:bCs/>
        </w:rPr>
        <w:t xml:space="preserve"> </w:t>
      </w:r>
      <w:proofErr w:type="spellStart"/>
      <w:r w:rsidR="000644A1" w:rsidRPr="00CF7B03">
        <w:rPr>
          <w:rFonts w:asciiTheme="minorHAnsi" w:hAnsiTheme="minorHAnsi" w:cstheme="minorHAnsi"/>
          <w:bCs/>
        </w:rPr>
        <w:lastRenderedPageBreak/>
        <w:t>Social</w:t>
      </w:r>
      <w:proofErr w:type="spellEnd"/>
      <w:r w:rsidR="000644A1" w:rsidRPr="00CF7B03">
        <w:rPr>
          <w:rFonts w:asciiTheme="minorHAnsi" w:hAnsiTheme="minorHAnsi" w:cstheme="minorHAnsi"/>
          <w:bCs/>
        </w:rPr>
        <w:t xml:space="preserve"> and </w:t>
      </w:r>
      <w:proofErr w:type="spellStart"/>
      <w:r w:rsidR="000644A1" w:rsidRPr="00CF7B03">
        <w:rPr>
          <w:rFonts w:asciiTheme="minorHAnsi" w:hAnsiTheme="minorHAnsi" w:cstheme="minorHAnsi"/>
          <w:bCs/>
        </w:rPr>
        <w:t>Economic</w:t>
      </w:r>
      <w:proofErr w:type="spellEnd"/>
      <w:r w:rsidR="000644A1" w:rsidRPr="00CF7B03">
        <w:rPr>
          <w:rFonts w:asciiTheme="minorHAnsi" w:hAnsiTheme="minorHAnsi" w:cstheme="minorHAnsi"/>
          <w:bCs/>
        </w:rPr>
        <w:t xml:space="preserve"> </w:t>
      </w:r>
      <w:proofErr w:type="spellStart"/>
      <w:r w:rsidR="000644A1" w:rsidRPr="00CF7B03">
        <w:rPr>
          <w:rFonts w:asciiTheme="minorHAnsi" w:hAnsiTheme="minorHAnsi" w:cstheme="minorHAnsi"/>
          <w:bCs/>
        </w:rPr>
        <w:t>Research</w:t>
      </w:r>
      <w:proofErr w:type="spellEnd"/>
      <w:r w:rsidR="000644A1" w:rsidRPr="00CF7B03">
        <w:rPr>
          <w:rFonts w:asciiTheme="minorHAnsi" w:hAnsiTheme="minorHAnsi" w:cstheme="minorHAnsi"/>
          <w:bCs/>
        </w:rPr>
        <w:t xml:space="preserve"> ("CASE") Evropskou komisí, aby kvantifikoval mezeru DPH ve 27 členských státech za roky 2007 až 2010. </w:t>
      </w:r>
      <w:r w:rsidR="00C2569E" w:rsidRPr="00CF7B03">
        <w:rPr>
          <w:rFonts w:asciiTheme="minorHAnsi" w:hAnsiTheme="minorHAnsi" w:cstheme="minorHAnsi"/>
          <w:bCs/>
        </w:rPr>
        <w:t xml:space="preserve">Za roky 2000 až 2006 byla daňová mezera vypočtena pro 24 států EU ve studii </w:t>
      </w:r>
      <w:proofErr w:type="spellStart"/>
      <w:r w:rsidR="00C2569E" w:rsidRPr="00CF7B03">
        <w:rPr>
          <w:rFonts w:asciiTheme="minorHAnsi" w:hAnsiTheme="minorHAnsi" w:cstheme="minorHAnsi"/>
          <w:bCs/>
        </w:rPr>
        <w:t>Reckon</w:t>
      </w:r>
      <w:proofErr w:type="spellEnd"/>
      <w:r w:rsidR="00C2569E" w:rsidRPr="00CF7B03">
        <w:rPr>
          <w:rFonts w:asciiTheme="minorHAnsi" w:hAnsiTheme="minorHAnsi" w:cstheme="minorHAnsi"/>
          <w:bCs/>
        </w:rPr>
        <w:t xml:space="preserve"> (2009) také pro Evropskou komisi. </w:t>
      </w:r>
      <w:r w:rsidR="00A603FE" w:rsidRPr="00CF7B03">
        <w:rPr>
          <w:rFonts w:asciiTheme="minorHAnsi" w:hAnsiTheme="minorHAnsi" w:cstheme="minorHAnsi"/>
          <w:bCs/>
        </w:rPr>
        <w:t>Pokud je daňová m</w:t>
      </w:r>
      <w:r w:rsidR="00872117" w:rsidRPr="00CF7B03">
        <w:rPr>
          <w:rFonts w:asciiTheme="minorHAnsi" w:hAnsiTheme="minorHAnsi" w:cstheme="minorHAnsi"/>
          <w:bCs/>
        </w:rPr>
        <w:t>e</w:t>
      </w:r>
      <w:r w:rsidR="00A603FE" w:rsidRPr="00CF7B03">
        <w:rPr>
          <w:rFonts w:asciiTheme="minorHAnsi" w:hAnsiTheme="minorHAnsi" w:cstheme="minorHAnsi"/>
          <w:bCs/>
        </w:rPr>
        <w:t>zera kvantifikována, lze zkoumat</w:t>
      </w:r>
      <w:r w:rsidR="00872117" w:rsidRPr="00CF7B03">
        <w:rPr>
          <w:rFonts w:asciiTheme="minorHAnsi" w:hAnsiTheme="minorHAnsi" w:cstheme="minorHAnsi"/>
          <w:bCs/>
        </w:rPr>
        <w:t xml:space="preserve"> její</w:t>
      </w:r>
      <w:r w:rsidR="00905CDA" w:rsidRPr="00CF7B03">
        <w:rPr>
          <w:rFonts w:asciiTheme="minorHAnsi" w:hAnsiTheme="minorHAnsi" w:cstheme="minorHAnsi"/>
          <w:bCs/>
        </w:rPr>
        <w:t xml:space="preserve"> závislost na různých faktorech, ať již jde o charakteristiky daňového systému</w:t>
      </w:r>
      <w:r w:rsidR="00905CDA" w:rsidRPr="00CF7B03">
        <w:rPr>
          <w:rStyle w:val="Znakapoznpodarou"/>
          <w:rFonts w:asciiTheme="minorHAnsi" w:hAnsiTheme="minorHAnsi" w:cstheme="minorHAnsi"/>
          <w:bCs/>
        </w:rPr>
        <w:footnoteReference w:id="3"/>
      </w:r>
      <w:r w:rsidR="00905CDA" w:rsidRPr="00CF7B03">
        <w:rPr>
          <w:rFonts w:asciiTheme="minorHAnsi" w:hAnsiTheme="minorHAnsi" w:cstheme="minorHAnsi"/>
          <w:bCs/>
        </w:rPr>
        <w:t>, nebo makroekonomické ukazatele či různé sociální indikátory</w:t>
      </w:r>
      <w:r w:rsidRPr="00CF7B03">
        <w:rPr>
          <w:rStyle w:val="Znakapoznpodarou"/>
          <w:rFonts w:asciiTheme="minorHAnsi" w:hAnsiTheme="minorHAnsi" w:cstheme="minorHAnsi"/>
          <w:bCs/>
        </w:rPr>
        <w:footnoteReference w:id="4"/>
      </w:r>
      <w:r w:rsidR="00872117" w:rsidRPr="00CF7B03">
        <w:rPr>
          <w:rFonts w:asciiTheme="minorHAnsi" w:hAnsiTheme="minorHAnsi" w:cstheme="minorHAnsi"/>
          <w:bCs/>
        </w:rPr>
        <w:t>.</w:t>
      </w:r>
      <w:r w:rsidR="00905CDA" w:rsidRPr="00CF7B03">
        <w:rPr>
          <w:rFonts w:asciiTheme="minorHAnsi" w:hAnsiTheme="minorHAnsi" w:cstheme="minorHAnsi"/>
          <w:bCs/>
        </w:rPr>
        <w:t xml:space="preserve"> </w:t>
      </w:r>
      <w:r w:rsidR="00872117" w:rsidRPr="00CF7B03">
        <w:rPr>
          <w:rFonts w:asciiTheme="minorHAnsi" w:hAnsiTheme="minorHAnsi" w:cstheme="minorHAnsi"/>
          <w:bCs/>
        </w:rPr>
        <w:t>Výsledky takového výzkumu jsou pak důležité p</w:t>
      </w:r>
      <w:r w:rsidRPr="00CF7B03">
        <w:rPr>
          <w:rFonts w:asciiTheme="minorHAnsi" w:hAnsiTheme="minorHAnsi" w:cstheme="minorHAnsi"/>
          <w:bCs/>
        </w:rPr>
        <w:t xml:space="preserve">ro </w:t>
      </w:r>
      <w:r w:rsidR="00872117" w:rsidRPr="00CF7B03">
        <w:rPr>
          <w:rFonts w:asciiTheme="minorHAnsi" w:hAnsiTheme="minorHAnsi" w:cstheme="minorHAnsi"/>
          <w:bCs/>
        </w:rPr>
        <w:t xml:space="preserve">vlády při vytváření </w:t>
      </w:r>
      <w:r w:rsidRPr="00CF7B03">
        <w:rPr>
          <w:rFonts w:asciiTheme="minorHAnsi" w:hAnsiTheme="minorHAnsi" w:cstheme="minorHAnsi"/>
          <w:bCs/>
        </w:rPr>
        <w:t>daňov</w:t>
      </w:r>
      <w:r w:rsidR="00872117" w:rsidRPr="00CF7B03">
        <w:rPr>
          <w:rFonts w:asciiTheme="minorHAnsi" w:hAnsiTheme="minorHAnsi" w:cstheme="minorHAnsi"/>
          <w:bCs/>
        </w:rPr>
        <w:t>é</w:t>
      </w:r>
      <w:r w:rsidRPr="00CF7B03">
        <w:rPr>
          <w:rFonts w:asciiTheme="minorHAnsi" w:hAnsiTheme="minorHAnsi" w:cstheme="minorHAnsi"/>
          <w:bCs/>
        </w:rPr>
        <w:t xml:space="preserve"> politik</w:t>
      </w:r>
      <w:r w:rsidR="00872117" w:rsidRPr="00CF7B03">
        <w:rPr>
          <w:rFonts w:asciiTheme="minorHAnsi" w:hAnsiTheme="minorHAnsi" w:cstheme="minorHAnsi"/>
          <w:bCs/>
        </w:rPr>
        <w:t xml:space="preserve">y. </w:t>
      </w:r>
    </w:p>
    <w:p w:rsidR="001D6964" w:rsidRPr="00CF7B03" w:rsidRDefault="001E2FD8" w:rsidP="007A5C5C">
      <w:pPr>
        <w:spacing w:after="120"/>
        <w:jc w:val="both"/>
        <w:rPr>
          <w:rFonts w:asciiTheme="minorHAnsi" w:hAnsiTheme="minorHAnsi" w:cstheme="minorHAnsi"/>
          <w:bCs/>
        </w:rPr>
      </w:pPr>
      <w:r w:rsidRPr="00CF7B03">
        <w:rPr>
          <w:rFonts w:asciiTheme="minorHAnsi" w:hAnsiTheme="minorHAnsi" w:cstheme="minorHAnsi"/>
          <w:bCs/>
        </w:rPr>
        <w:t xml:space="preserve">Tato </w:t>
      </w:r>
      <w:r w:rsidR="000644A1" w:rsidRPr="00CF7B03">
        <w:rPr>
          <w:rFonts w:asciiTheme="minorHAnsi" w:hAnsiTheme="minorHAnsi" w:cstheme="minorHAnsi"/>
          <w:bCs/>
        </w:rPr>
        <w:t xml:space="preserve">disertační </w:t>
      </w:r>
      <w:r w:rsidRPr="00CF7B03">
        <w:rPr>
          <w:rFonts w:asciiTheme="minorHAnsi" w:hAnsiTheme="minorHAnsi" w:cstheme="minorHAnsi"/>
          <w:bCs/>
        </w:rPr>
        <w:t xml:space="preserve">práce se zaměří na výpočet mezery DPH v </w:t>
      </w:r>
      <w:r w:rsidR="007A5C5C" w:rsidRPr="00CF7B03">
        <w:rPr>
          <w:rFonts w:asciiTheme="minorHAnsi" w:hAnsiTheme="minorHAnsi" w:cstheme="minorHAnsi"/>
          <w:bCs/>
        </w:rPr>
        <w:t xml:space="preserve">České republice a </w:t>
      </w:r>
      <w:r w:rsidRPr="00CF7B03">
        <w:rPr>
          <w:rFonts w:asciiTheme="minorHAnsi" w:hAnsiTheme="minorHAnsi" w:cstheme="minorHAnsi"/>
          <w:bCs/>
        </w:rPr>
        <w:t xml:space="preserve">hledání závislostí mezi výši </w:t>
      </w:r>
      <w:r w:rsidR="007A5C5C" w:rsidRPr="00CF7B03">
        <w:rPr>
          <w:rFonts w:asciiTheme="minorHAnsi" w:hAnsiTheme="minorHAnsi" w:cstheme="minorHAnsi"/>
          <w:bCs/>
        </w:rPr>
        <w:t xml:space="preserve">mezery DPH, v ČR a v ostatních zemích Evropské unie, </w:t>
      </w:r>
      <w:r w:rsidRPr="00CF7B03">
        <w:rPr>
          <w:rFonts w:asciiTheme="minorHAnsi" w:hAnsiTheme="minorHAnsi" w:cstheme="minorHAnsi"/>
          <w:bCs/>
        </w:rPr>
        <w:t>a možnými faktory, které ji potenciálně ovlivňují.</w:t>
      </w:r>
    </w:p>
    <w:p w:rsidR="004C61EF" w:rsidRPr="00CF7B03" w:rsidRDefault="004C61EF" w:rsidP="007A5C5C">
      <w:pPr>
        <w:spacing w:after="120"/>
        <w:jc w:val="both"/>
        <w:rPr>
          <w:rFonts w:asciiTheme="minorHAnsi" w:hAnsiTheme="minorHAnsi" w:cstheme="minorHAnsi"/>
          <w:b/>
          <w:bCs/>
        </w:rPr>
      </w:pPr>
      <w:r w:rsidRPr="00CF7B03">
        <w:rPr>
          <w:rFonts w:asciiTheme="minorHAnsi" w:hAnsiTheme="minorHAnsi" w:cstheme="minorHAnsi"/>
          <w:b/>
          <w:bCs/>
        </w:rPr>
        <w:t>Stav empirického výzkumu</w:t>
      </w:r>
      <w:r w:rsidR="00A926F7" w:rsidRPr="00CF7B03">
        <w:rPr>
          <w:rFonts w:asciiTheme="minorHAnsi" w:hAnsiTheme="minorHAnsi" w:cstheme="minorHAnsi"/>
          <w:b/>
          <w:bCs/>
        </w:rPr>
        <w:t xml:space="preserve"> </w:t>
      </w:r>
    </w:p>
    <w:p w:rsidR="00E15251" w:rsidRPr="00CF7B03" w:rsidRDefault="00E15251" w:rsidP="007A5C5C">
      <w:pPr>
        <w:spacing w:after="120"/>
        <w:jc w:val="both"/>
        <w:rPr>
          <w:rFonts w:asciiTheme="minorHAnsi" w:hAnsiTheme="minorHAnsi" w:cstheme="minorHAnsi"/>
          <w:bCs/>
        </w:rPr>
      </w:pPr>
      <w:r w:rsidRPr="00CF7B03">
        <w:rPr>
          <w:rFonts w:asciiTheme="minorHAnsi" w:hAnsiTheme="minorHAnsi" w:cstheme="minorHAnsi"/>
          <w:bCs/>
        </w:rPr>
        <w:t xml:space="preserve">Existují kvantitativní odhady mezery DPH provedené daňovými správami některých zemí. </w:t>
      </w:r>
      <w:r w:rsidR="00A926F7" w:rsidRPr="00CF7B03">
        <w:rPr>
          <w:rFonts w:asciiTheme="minorHAnsi" w:hAnsiTheme="minorHAnsi" w:cstheme="minorHAnsi"/>
          <w:bCs/>
        </w:rPr>
        <w:t xml:space="preserve">Jde například o </w:t>
      </w:r>
      <w:r w:rsidRPr="00CF7B03">
        <w:rPr>
          <w:rFonts w:asciiTheme="minorHAnsi" w:hAnsiTheme="minorHAnsi" w:cstheme="minorHAnsi"/>
          <w:bCs/>
        </w:rPr>
        <w:t>Švédsko</w:t>
      </w:r>
      <w:r w:rsidR="00A926F7" w:rsidRPr="00CF7B03">
        <w:rPr>
          <w:rFonts w:asciiTheme="minorHAnsi" w:hAnsiTheme="minorHAnsi" w:cstheme="minorHAnsi"/>
          <w:bCs/>
        </w:rPr>
        <w:t xml:space="preserve">, pro které </w:t>
      </w:r>
      <w:proofErr w:type="spellStart"/>
      <w:r w:rsidRPr="00CF7B03">
        <w:rPr>
          <w:rFonts w:asciiTheme="minorHAnsi" w:hAnsiTheme="minorHAnsi" w:cstheme="minorHAnsi"/>
          <w:bCs/>
        </w:rPr>
        <w:t>Hansson</w:t>
      </w:r>
      <w:proofErr w:type="spellEnd"/>
      <w:r w:rsidRPr="00CF7B03">
        <w:rPr>
          <w:rFonts w:asciiTheme="minorHAnsi" w:hAnsiTheme="minorHAnsi" w:cstheme="minorHAnsi"/>
          <w:bCs/>
        </w:rPr>
        <w:t xml:space="preserve"> a </w:t>
      </w:r>
      <w:proofErr w:type="spellStart"/>
      <w:r w:rsidRPr="00CF7B03">
        <w:rPr>
          <w:rFonts w:asciiTheme="minorHAnsi" w:hAnsiTheme="minorHAnsi" w:cstheme="minorHAnsi"/>
          <w:bCs/>
        </w:rPr>
        <w:t>Wallberg</w:t>
      </w:r>
      <w:proofErr w:type="spellEnd"/>
      <w:r w:rsidRPr="00CF7B03">
        <w:rPr>
          <w:rFonts w:asciiTheme="minorHAnsi" w:hAnsiTheme="minorHAnsi" w:cstheme="minorHAnsi"/>
          <w:bCs/>
        </w:rPr>
        <w:t xml:space="preserve"> </w:t>
      </w:r>
      <w:r w:rsidR="00A926F7" w:rsidRPr="00CF7B03">
        <w:rPr>
          <w:rFonts w:asciiTheme="minorHAnsi" w:hAnsiTheme="minorHAnsi" w:cstheme="minorHAnsi"/>
          <w:bCs/>
        </w:rPr>
        <w:t xml:space="preserve">(2008) </w:t>
      </w:r>
      <w:r w:rsidRPr="00CF7B03">
        <w:rPr>
          <w:rFonts w:asciiTheme="minorHAnsi" w:hAnsiTheme="minorHAnsi" w:cstheme="minorHAnsi"/>
          <w:bCs/>
        </w:rPr>
        <w:t>vytvořili tzv. mapu daňových úniků. Celková daňová mezera v roce 2007 byla v této studii odhadnuta na 5</w:t>
      </w:r>
      <w:r w:rsidR="00B13377" w:rsidRPr="00CF7B03">
        <w:rPr>
          <w:rFonts w:asciiTheme="minorHAnsi" w:hAnsiTheme="minorHAnsi" w:cstheme="minorHAnsi"/>
          <w:bCs/>
        </w:rPr>
        <w:t xml:space="preserve"> </w:t>
      </w:r>
      <w:r w:rsidRPr="00CF7B03">
        <w:rPr>
          <w:rFonts w:asciiTheme="minorHAnsi" w:hAnsiTheme="minorHAnsi" w:cstheme="minorHAnsi"/>
          <w:bCs/>
        </w:rPr>
        <w:t>% HDP a 10</w:t>
      </w:r>
      <w:r w:rsidR="00B13377" w:rsidRPr="00CF7B03">
        <w:rPr>
          <w:rFonts w:asciiTheme="minorHAnsi" w:hAnsiTheme="minorHAnsi" w:cstheme="minorHAnsi"/>
          <w:bCs/>
        </w:rPr>
        <w:t xml:space="preserve"> </w:t>
      </w:r>
      <w:r w:rsidRPr="00CF7B03">
        <w:rPr>
          <w:rFonts w:asciiTheme="minorHAnsi" w:hAnsiTheme="minorHAnsi" w:cstheme="minorHAnsi"/>
          <w:bCs/>
        </w:rPr>
        <w:t xml:space="preserve">% teoretické daňové povinnosti. </w:t>
      </w:r>
      <w:r w:rsidR="00A926F7" w:rsidRPr="00CF7B03">
        <w:rPr>
          <w:rFonts w:asciiTheme="minorHAnsi" w:hAnsiTheme="minorHAnsi" w:cstheme="minorHAnsi"/>
          <w:bCs/>
        </w:rPr>
        <w:t>J</w:t>
      </w:r>
      <w:r w:rsidRPr="00CF7B03">
        <w:rPr>
          <w:rFonts w:asciiTheme="minorHAnsi" w:hAnsiTheme="minorHAnsi" w:cstheme="minorHAnsi"/>
          <w:bCs/>
        </w:rPr>
        <w:t>e</w:t>
      </w:r>
      <w:r w:rsidR="00A926F7" w:rsidRPr="00CF7B03">
        <w:rPr>
          <w:rFonts w:asciiTheme="minorHAnsi" w:hAnsiTheme="minorHAnsi" w:cstheme="minorHAnsi"/>
          <w:bCs/>
        </w:rPr>
        <w:t xml:space="preserve"> zde</w:t>
      </w:r>
      <w:r w:rsidRPr="00CF7B03">
        <w:rPr>
          <w:rFonts w:asciiTheme="minorHAnsi" w:hAnsiTheme="minorHAnsi" w:cstheme="minorHAnsi"/>
          <w:bCs/>
        </w:rPr>
        <w:t xml:space="preserve"> odhadnuta také daňová mezera DPH v roce 2007 na 14</w:t>
      </w:r>
      <w:r w:rsidR="00B13377" w:rsidRPr="00CF7B03">
        <w:rPr>
          <w:rFonts w:asciiTheme="minorHAnsi" w:hAnsiTheme="minorHAnsi" w:cstheme="minorHAnsi"/>
          <w:bCs/>
        </w:rPr>
        <w:t xml:space="preserve"> </w:t>
      </w:r>
      <w:r w:rsidRPr="00CF7B03">
        <w:rPr>
          <w:rFonts w:asciiTheme="minorHAnsi" w:hAnsiTheme="minorHAnsi" w:cstheme="minorHAnsi"/>
          <w:bCs/>
        </w:rPr>
        <w:t>%. Dále je zmíněn i dřívější odhad daňové mezery v oblasti DPH ve Švédsku za období od roku 1980 do 1991, který udává průměrně 11,6</w:t>
      </w:r>
      <w:r w:rsidR="00B13377" w:rsidRPr="00CF7B03">
        <w:rPr>
          <w:rFonts w:asciiTheme="minorHAnsi" w:hAnsiTheme="minorHAnsi" w:cstheme="minorHAnsi"/>
          <w:bCs/>
        </w:rPr>
        <w:t xml:space="preserve"> </w:t>
      </w:r>
      <w:r w:rsidRPr="00CF7B03">
        <w:rPr>
          <w:rFonts w:asciiTheme="minorHAnsi" w:hAnsiTheme="minorHAnsi" w:cstheme="minorHAnsi"/>
          <w:bCs/>
        </w:rPr>
        <w:t>%</w:t>
      </w:r>
      <w:r w:rsidRPr="00CF7B03">
        <w:rPr>
          <w:rFonts w:asciiTheme="minorHAnsi" w:hAnsiTheme="minorHAnsi" w:cstheme="minorHAnsi"/>
          <w:bCs/>
          <w:vertAlign w:val="superscript"/>
        </w:rPr>
        <w:footnoteReference w:id="5"/>
      </w:r>
      <w:r w:rsidRPr="00CF7B03">
        <w:rPr>
          <w:rFonts w:asciiTheme="minorHAnsi" w:hAnsiTheme="minorHAnsi" w:cstheme="minorHAnsi"/>
          <w:bCs/>
          <w:vertAlign w:val="superscript"/>
        </w:rPr>
        <w:t xml:space="preserve"> </w:t>
      </w:r>
      <w:r w:rsidRPr="00CF7B03">
        <w:rPr>
          <w:rFonts w:asciiTheme="minorHAnsi" w:hAnsiTheme="minorHAnsi" w:cstheme="minorHAnsi"/>
          <w:bCs/>
        </w:rPr>
        <w:t xml:space="preserve">teoretické daňové povinnosti. </w:t>
      </w:r>
    </w:p>
    <w:p w:rsidR="00FC1822" w:rsidRPr="00CF7B03" w:rsidRDefault="00E15251" w:rsidP="007A5C5C">
      <w:pPr>
        <w:spacing w:after="120"/>
        <w:jc w:val="both"/>
        <w:rPr>
          <w:rFonts w:asciiTheme="minorHAnsi" w:hAnsiTheme="minorHAnsi" w:cstheme="minorHAnsi"/>
          <w:bCs/>
        </w:rPr>
      </w:pPr>
      <w:r w:rsidRPr="00CF7B03">
        <w:rPr>
          <w:rFonts w:asciiTheme="minorHAnsi" w:hAnsiTheme="minorHAnsi" w:cstheme="minorHAnsi"/>
          <w:bCs/>
        </w:rPr>
        <w:t xml:space="preserve">Ve Velké Británii je každoročně odhadována daňová mezera v členění podle typu daně, typu daňového subjektu i druhu chování, které k daňovým únikům vede. Podle zprávy </w:t>
      </w:r>
      <w:r w:rsidR="00A926F7" w:rsidRPr="00CF7B03">
        <w:rPr>
          <w:rFonts w:asciiTheme="minorHAnsi" w:hAnsiTheme="minorHAnsi" w:cstheme="minorHAnsi"/>
          <w:bCs/>
        </w:rPr>
        <w:t>HMRC (2011)</w:t>
      </w:r>
      <w:r w:rsidRPr="00CF7B03">
        <w:rPr>
          <w:rFonts w:asciiTheme="minorHAnsi" w:hAnsiTheme="minorHAnsi" w:cstheme="minorHAnsi"/>
          <w:bCs/>
        </w:rPr>
        <w:t xml:space="preserve"> byla v roce 2009-10 celková daňová mezera 35 mld. GBP, což představuje 7,9 % </w:t>
      </w:r>
      <w:r w:rsidR="001D6964" w:rsidRPr="00CF7B03">
        <w:rPr>
          <w:rFonts w:asciiTheme="minorHAnsi" w:hAnsiTheme="minorHAnsi" w:cstheme="minorHAnsi"/>
          <w:bCs/>
        </w:rPr>
        <w:t>teoretické</w:t>
      </w:r>
      <w:r w:rsidRPr="00CF7B03">
        <w:rPr>
          <w:rFonts w:asciiTheme="minorHAnsi" w:hAnsiTheme="minorHAnsi" w:cstheme="minorHAnsi"/>
          <w:bCs/>
        </w:rPr>
        <w:t xml:space="preserve"> daňové povinnosti. V předchozím roce to bylo o 4 mld. GBP více, tedy 8,1 % </w:t>
      </w:r>
      <w:r w:rsidR="001D6964" w:rsidRPr="00CF7B03">
        <w:rPr>
          <w:rFonts w:asciiTheme="minorHAnsi" w:hAnsiTheme="minorHAnsi" w:cstheme="minorHAnsi"/>
          <w:bCs/>
        </w:rPr>
        <w:t xml:space="preserve">teoretické </w:t>
      </w:r>
      <w:r w:rsidRPr="00CF7B03">
        <w:rPr>
          <w:rFonts w:asciiTheme="minorHAnsi" w:hAnsiTheme="minorHAnsi" w:cstheme="minorHAnsi"/>
          <w:bCs/>
        </w:rPr>
        <w:t>daňové povinnosti. Jednotlivé daňové mezery</w:t>
      </w:r>
      <w:r w:rsidRPr="00CF7B03">
        <w:rPr>
          <w:rFonts w:asciiTheme="minorHAnsi" w:hAnsiTheme="minorHAnsi" w:cstheme="minorHAnsi"/>
          <w:bCs/>
          <w:vertAlign w:val="superscript"/>
        </w:rPr>
        <w:footnoteReference w:id="6"/>
      </w:r>
      <w:r w:rsidRPr="00CF7B03">
        <w:rPr>
          <w:rFonts w:asciiTheme="minorHAnsi" w:hAnsiTheme="minorHAnsi" w:cstheme="minorHAnsi"/>
          <w:bCs/>
        </w:rPr>
        <w:t xml:space="preserve"> měly následující hodnoty: mezera DPH tvořila 13,8</w:t>
      </w:r>
      <w:r w:rsidR="00B13377" w:rsidRPr="00CF7B03">
        <w:rPr>
          <w:rFonts w:asciiTheme="minorHAnsi" w:hAnsiTheme="minorHAnsi" w:cstheme="minorHAnsi"/>
          <w:bCs/>
        </w:rPr>
        <w:t xml:space="preserve"> </w:t>
      </w:r>
      <w:r w:rsidRPr="00CF7B03">
        <w:rPr>
          <w:rFonts w:asciiTheme="minorHAnsi" w:hAnsiTheme="minorHAnsi" w:cstheme="minorHAnsi"/>
          <w:bCs/>
        </w:rPr>
        <w:t>% a mezera nepřímých d</w:t>
      </w:r>
      <w:r w:rsidR="001D6964" w:rsidRPr="00CF7B03">
        <w:rPr>
          <w:rFonts w:asciiTheme="minorHAnsi" w:hAnsiTheme="minorHAnsi" w:cstheme="minorHAnsi"/>
          <w:bCs/>
        </w:rPr>
        <w:t>aní celkem 10,9</w:t>
      </w:r>
      <w:r w:rsidR="00B13377" w:rsidRPr="00CF7B03">
        <w:rPr>
          <w:rFonts w:asciiTheme="minorHAnsi" w:hAnsiTheme="minorHAnsi" w:cstheme="minorHAnsi"/>
          <w:bCs/>
        </w:rPr>
        <w:t xml:space="preserve"> </w:t>
      </w:r>
      <w:r w:rsidR="001D6964" w:rsidRPr="00CF7B03">
        <w:rPr>
          <w:rFonts w:asciiTheme="minorHAnsi" w:hAnsiTheme="minorHAnsi" w:cstheme="minorHAnsi"/>
          <w:bCs/>
        </w:rPr>
        <w:t xml:space="preserve">%, </w:t>
      </w:r>
      <w:r w:rsidRPr="00CF7B03">
        <w:rPr>
          <w:rFonts w:asciiTheme="minorHAnsi" w:hAnsiTheme="minorHAnsi" w:cstheme="minorHAnsi"/>
          <w:bCs/>
        </w:rPr>
        <w:t>zatímco mezera přímých daní 6,5</w:t>
      </w:r>
      <w:r w:rsidR="00B13377" w:rsidRPr="00CF7B03">
        <w:rPr>
          <w:rFonts w:asciiTheme="minorHAnsi" w:hAnsiTheme="minorHAnsi" w:cstheme="minorHAnsi"/>
          <w:bCs/>
        </w:rPr>
        <w:t xml:space="preserve"> </w:t>
      </w:r>
      <w:r w:rsidRPr="00CF7B03">
        <w:rPr>
          <w:rFonts w:asciiTheme="minorHAnsi" w:hAnsiTheme="minorHAnsi" w:cstheme="minorHAnsi"/>
          <w:bCs/>
        </w:rPr>
        <w:t>%. Studie obsahuje rovněž odhad mezery DPH za roky 2002-2010, které se pohybují v průměru kolem 13,8</w:t>
      </w:r>
      <w:r w:rsidR="00B13377" w:rsidRPr="00CF7B03">
        <w:rPr>
          <w:rFonts w:asciiTheme="minorHAnsi" w:hAnsiTheme="minorHAnsi" w:cstheme="minorHAnsi"/>
          <w:bCs/>
        </w:rPr>
        <w:t xml:space="preserve"> </w:t>
      </w:r>
      <w:r w:rsidRPr="00CF7B03">
        <w:rPr>
          <w:rFonts w:asciiTheme="minorHAnsi" w:hAnsiTheme="minorHAnsi" w:cstheme="minorHAnsi"/>
          <w:bCs/>
        </w:rPr>
        <w:t>%. S vyššími hodnotami (nad 15</w:t>
      </w:r>
      <w:r w:rsidR="00B13377" w:rsidRPr="00CF7B03">
        <w:rPr>
          <w:rFonts w:asciiTheme="minorHAnsi" w:hAnsiTheme="minorHAnsi" w:cstheme="minorHAnsi"/>
          <w:bCs/>
        </w:rPr>
        <w:t xml:space="preserve"> </w:t>
      </w:r>
      <w:r w:rsidRPr="00CF7B03">
        <w:rPr>
          <w:rFonts w:asciiTheme="minorHAnsi" w:hAnsiTheme="minorHAnsi" w:cstheme="minorHAnsi"/>
          <w:bCs/>
        </w:rPr>
        <w:t xml:space="preserve">%) v letech 2003 a 2006. </w:t>
      </w:r>
    </w:p>
    <w:p w:rsidR="00F71D53" w:rsidRPr="00CF7B03" w:rsidRDefault="00E15251" w:rsidP="007A5C5C">
      <w:pPr>
        <w:spacing w:after="120"/>
        <w:jc w:val="both"/>
        <w:rPr>
          <w:rFonts w:asciiTheme="minorHAnsi" w:hAnsiTheme="minorHAnsi" w:cstheme="minorHAnsi"/>
          <w:bCs/>
        </w:rPr>
      </w:pPr>
      <w:r w:rsidRPr="00CF7B03">
        <w:rPr>
          <w:rFonts w:asciiTheme="minorHAnsi" w:hAnsiTheme="minorHAnsi" w:cstheme="minorHAnsi"/>
          <w:bCs/>
        </w:rPr>
        <w:t xml:space="preserve">Souhrnná studie porovnávající mezeru DPH ve 24 zemích EU v letech 2000 až 2006 byla zpracována firmou </w:t>
      </w:r>
      <w:proofErr w:type="spellStart"/>
      <w:r w:rsidRPr="00CF7B03">
        <w:rPr>
          <w:rFonts w:asciiTheme="minorHAnsi" w:hAnsiTheme="minorHAnsi" w:cstheme="minorHAnsi"/>
          <w:bCs/>
        </w:rPr>
        <w:t>Reckon</w:t>
      </w:r>
      <w:proofErr w:type="spellEnd"/>
      <w:r w:rsidRPr="00CF7B03">
        <w:rPr>
          <w:rFonts w:asciiTheme="minorHAnsi" w:hAnsiTheme="minorHAnsi" w:cstheme="minorHAnsi"/>
          <w:bCs/>
        </w:rPr>
        <w:t xml:space="preserve"> LLP </w:t>
      </w:r>
      <w:r w:rsidR="00A926F7" w:rsidRPr="00CF7B03">
        <w:rPr>
          <w:rFonts w:asciiTheme="minorHAnsi" w:hAnsiTheme="minorHAnsi" w:cstheme="minorHAnsi"/>
          <w:bCs/>
        </w:rPr>
        <w:t>(2009)</w:t>
      </w:r>
      <w:r w:rsidRPr="00CF7B03">
        <w:rPr>
          <w:rFonts w:asciiTheme="minorHAnsi" w:hAnsiTheme="minorHAnsi" w:cstheme="minorHAnsi"/>
          <w:bCs/>
        </w:rPr>
        <w:t>. Studie vyčísluje mezeru DPH pro jednotlivé země EU</w:t>
      </w:r>
      <w:r w:rsidR="00A926F7" w:rsidRPr="00CF7B03">
        <w:rPr>
          <w:rFonts w:asciiTheme="minorHAnsi" w:hAnsiTheme="minorHAnsi" w:cstheme="minorHAnsi"/>
          <w:bCs/>
        </w:rPr>
        <w:t>.</w:t>
      </w:r>
      <w:r w:rsidRPr="00CF7B03">
        <w:rPr>
          <w:rFonts w:asciiTheme="minorHAnsi" w:hAnsiTheme="minorHAnsi" w:cstheme="minorHAnsi"/>
          <w:bCs/>
        </w:rPr>
        <w:t xml:space="preserve"> Průměrná mezera DPH mezi lety 2000 a 2006 byla ve 24 státech EU 13,42 %. Výsledky jsou ještě rozděleny na 15 „starých“ členských států s průměrnou mezerou DPH 12,85 % a 10 „nových“ členských států s průměrnou mezerou DPH 18,57 %. Česká republika je s</w:t>
      </w:r>
      <w:r w:rsidR="00B13377" w:rsidRPr="00CF7B03">
        <w:rPr>
          <w:rFonts w:asciiTheme="minorHAnsi" w:hAnsiTheme="minorHAnsi" w:cstheme="minorHAnsi"/>
          <w:bCs/>
        </w:rPr>
        <w:t> </w:t>
      </w:r>
      <w:r w:rsidRPr="00CF7B03">
        <w:rPr>
          <w:rFonts w:asciiTheme="minorHAnsi" w:hAnsiTheme="minorHAnsi" w:cstheme="minorHAnsi"/>
          <w:bCs/>
        </w:rPr>
        <w:t>18</w:t>
      </w:r>
      <w:r w:rsidR="00B13377" w:rsidRPr="00CF7B03">
        <w:rPr>
          <w:rFonts w:asciiTheme="minorHAnsi" w:hAnsiTheme="minorHAnsi" w:cstheme="minorHAnsi"/>
          <w:bCs/>
        </w:rPr>
        <w:t xml:space="preserve"> </w:t>
      </w:r>
      <w:r w:rsidRPr="00CF7B03">
        <w:rPr>
          <w:rFonts w:asciiTheme="minorHAnsi" w:hAnsiTheme="minorHAnsi" w:cstheme="minorHAnsi"/>
          <w:bCs/>
        </w:rPr>
        <w:t>% mezerou DPH nad průměrem 24 zemí EU a průměrná v nové skupině zemí EU.</w:t>
      </w:r>
      <w:r w:rsidR="00F71D53" w:rsidRPr="00CF7B03">
        <w:rPr>
          <w:rFonts w:asciiTheme="minorHAnsi" w:hAnsiTheme="minorHAnsi" w:cstheme="minorHAnsi"/>
          <w:bCs/>
        </w:rPr>
        <w:t xml:space="preserve"> Kromě výpočtu daňové mezery se studie zabývala i ekonometrickou analýzou. Mimo jiné jmenuje např. italskou studii autorů </w:t>
      </w:r>
      <w:proofErr w:type="spellStart"/>
      <w:r w:rsidR="00F71D53" w:rsidRPr="00CF7B03">
        <w:rPr>
          <w:rFonts w:asciiTheme="minorHAnsi" w:hAnsiTheme="minorHAnsi" w:cstheme="minorHAnsi"/>
          <w:bCs/>
        </w:rPr>
        <w:t>Otranto</w:t>
      </w:r>
      <w:proofErr w:type="spellEnd"/>
      <w:r w:rsidR="00F71D53" w:rsidRPr="00CF7B03">
        <w:rPr>
          <w:rFonts w:asciiTheme="minorHAnsi" w:hAnsiTheme="minorHAnsi" w:cstheme="minorHAnsi"/>
          <w:bCs/>
        </w:rPr>
        <w:t xml:space="preserve">, </w:t>
      </w:r>
      <w:proofErr w:type="spellStart"/>
      <w:r w:rsidR="00F71D53" w:rsidRPr="00CF7B03">
        <w:rPr>
          <w:rFonts w:asciiTheme="minorHAnsi" w:hAnsiTheme="minorHAnsi" w:cstheme="minorHAnsi"/>
          <w:bCs/>
        </w:rPr>
        <w:t>Pisano</w:t>
      </w:r>
      <w:proofErr w:type="spellEnd"/>
      <w:r w:rsidR="00F71D53" w:rsidRPr="00CF7B03">
        <w:rPr>
          <w:rFonts w:asciiTheme="minorHAnsi" w:hAnsiTheme="minorHAnsi" w:cstheme="minorHAnsi"/>
          <w:bCs/>
        </w:rPr>
        <w:t xml:space="preserve"> a </w:t>
      </w:r>
      <w:proofErr w:type="spellStart"/>
      <w:r w:rsidR="00F71D53" w:rsidRPr="00CF7B03">
        <w:rPr>
          <w:rFonts w:asciiTheme="minorHAnsi" w:hAnsiTheme="minorHAnsi" w:cstheme="minorHAnsi"/>
          <w:bCs/>
        </w:rPr>
        <w:t>Polidoro</w:t>
      </w:r>
      <w:proofErr w:type="spellEnd"/>
      <w:r w:rsidR="00F71D53" w:rsidRPr="00CF7B03">
        <w:rPr>
          <w:rFonts w:asciiTheme="minorHAnsi" w:hAnsiTheme="minorHAnsi" w:cstheme="minorHAnsi"/>
          <w:bCs/>
        </w:rPr>
        <w:t xml:space="preserve"> (2003), kteří dospěli k závěru, že daňové úniky jsou pozitivně ovlivněny výší HDP, daňovou kvótou a hrubými zisky a přidanou hodnotou v</w:t>
      </w:r>
      <w:r w:rsidR="00537F20" w:rsidRPr="00CF7B03">
        <w:rPr>
          <w:rFonts w:asciiTheme="minorHAnsi" w:hAnsiTheme="minorHAnsi" w:cstheme="minorHAnsi"/>
          <w:bCs/>
        </w:rPr>
        <w:t> </w:t>
      </w:r>
      <w:r w:rsidR="00F71D53" w:rsidRPr="00CF7B03">
        <w:rPr>
          <w:rFonts w:asciiTheme="minorHAnsi" w:hAnsiTheme="minorHAnsi" w:cstheme="minorHAnsi"/>
          <w:bCs/>
        </w:rPr>
        <w:t xml:space="preserve">ekonomice. Naopak negativní vliv má o jedno období zpožděná hodnota </w:t>
      </w:r>
      <w:r w:rsidR="001D39CF" w:rsidRPr="00CF7B03">
        <w:rPr>
          <w:rFonts w:asciiTheme="minorHAnsi" w:hAnsiTheme="minorHAnsi" w:cstheme="minorHAnsi"/>
          <w:bCs/>
        </w:rPr>
        <w:t xml:space="preserve">počtu </w:t>
      </w:r>
      <w:r w:rsidR="00F71D53" w:rsidRPr="00CF7B03">
        <w:rPr>
          <w:rFonts w:asciiTheme="minorHAnsi" w:hAnsiTheme="minorHAnsi" w:cstheme="minorHAnsi"/>
          <w:bCs/>
        </w:rPr>
        <w:t xml:space="preserve">registrovaných plátců DPH. Autoři studie </w:t>
      </w:r>
      <w:proofErr w:type="spellStart"/>
      <w:r w:rsidR="00F71D53" w:rsidRPr="00CF7B03">
        <w:rPr>
          <w:rFonts w:asciiTheme="minorHAnsi" w:hAnsiTheme="minorHAnsi" w:cstheme="minorHAnsi"/>
          <w:bCs/>
        </w:rPr>
        <w:t>Reckon</w:t>
      </w:r>
      <w:proofErr w:type="spellEnd"/>
      <w:r w:rsidR="00F71D53" w:rsidRPr="00CF7B03">
        <w:rPr>
          <w:rFonts w:asciiTheme="minorHAnsi" w:hAnsiTheme="minorHAnsi" w:cstheme="minorHAnsi"/>
          <w:bCs/>
        </w:rPr>
        <w:t xml:space="preserve"> (2009) však nacházejí jedinou významnou závislost, a to sice </w:t>
      </w:r>
      <w:r w:rsidR="00F875B1" w:rsidRPr="00CF7B03">
        <w:rPr>
          <w:rFonts w:asciiTheme="minorHAnsi" w:hAnsiTheme="minorHAnsi" w:cstheme="minorHAnsi"/>
          <w:bCs/>
        </w:rPr>
        <w:t>negativní vliv míry korupce na veli</w:t>
      </w:r>
      <w:r w:rsidR="001D6964" w:rsidRPr="00CF7B03">
        <w:rPr>
          <w:rFonts w:asciiTheme="minorHAnsi" w:hAnsiTheme="minorHAnsi" w:cstheme="minorHAnsi"/>
          <w:bCs/>
        </w:rPr>
        <w:t>k</w:t>
      </w:r>
      <w:r w:rsidR="00F875B1" w:rsidRPr="00CF7B03">
        <w:rPr>
          <w:rFonts w:asciiTheme="minorHAnsi" w:hAnsiTheme="minorHAnsi" w:cstheme="minorHAnsi"/>
          <w:bCs/>
        </w:rPr>
        <w:t>ost daňové mezery. Další nalezený významný faktor, kterým je podíl teoretické daňové povinnosti na HDP, identifikovali jako náchylný k chybě vznikající při jejich vlastním odhadu teoretické daňové povinnosti z národních účtů. Další zkoumané faktory jako např. sazba DPH, příjmová nerovnost a index chudoby, velikost země a podíl cestovního ruchu se neprokázaly jako významné.</w:t>
      </w:r>
    </w:p>
    <w:p w:rsidR="00A926F7" w:rsidRPr="00CF7B03" w:rsidRDefault="00E15251" w:rsidP="007A5C5C">
      <w:pPr>
        <w:spacing w:after="120"/>
        <w:jc w:val="both"/>
        <w:rPr>
          <w:rFonts w:asciiTheme="minorHAnsi" w:hAnsiTheme="minorHAnsi" w:cstheme="minorHAnsi"/>
          <w:bCs/>
        </w:rPr>
      </w:pPr>
      <w:proofErr w:type="spellStart"/>
      <w:r w:rsidRPr="00CF7B03">
        <w:rPr>
          <w:rFonts w:asciiTheme="minorHAnsi" w:hAnsiTheme="minorHAnsi" w:cstheme="minorHAnsi"/>
          <w:bCs/>
        </w:rPr>
        <w:t>Chiarini</w:t>
      </w:r>
      <w:proofErr w:type="spellEnd"/>
      <w:r w:rsidRPr="00CF7B03">
        <w:rPr>
          <w:rFonts w:asciiTheme="minorHAnsi" w:hAnsiTheme="minorHAnsi" w:cstheme="minorHAnsi"/>
          <w:bCs/>
        </w:rPr>
        <w:t xml:space="preserve">, </w:t>
      </w:r>
      <w:proofErr w:type="spellStart"/>
      <w:r w:rsidRPr="00CF7B03">
        <w:rPr>
          <w:rFonts w:asciiTheme="minorHAnsi" w:hAnsiTheme="minorHAnsi" w:cstheme="minorHAnsi"/>
          <w:bCs/>
        </w:rPr>
        <w:t>Marzano</w:t>
      </w:r>
      <w:proofErr w:type="spellEnd"/>
      <w:r w:rsidRPr="00CF7B03">
        <w:rPr>
          <w:rFonts w:asciiTheme="minorHAnsi" w:hAnsiTheme="minorHAnsi" w:cstheme="minorHAnsi"/>
          <w:bCs/>
        </w:rPr>
        <w:t xml:space="preserve"> a Schneider </w:t>
      </w:r>
      <w:r w:rsidR="00A926F7" w:rsidRPr="00CF7B03">
        <w:rPr>
          <w:rFonts w:asciiTheme="minorHAnsi" w:hAnsiTheme="minorHAnsi" w:cstheme="minorHAnsi"/>
          <w:bCs/>
        </w:rPr>
        <w:t>(2009)</w:t>
      </w:r>
      <w:r w:rsidRPr="00CF7B03">
        <w:rPr>
          <w:rFonts w:asciiTheme="minorHAnsi" w:hAnsiTheme="minorHAnsi" w:cstheme="minorHAnsi"/>
          <w:bCs/>
        </w:rPr>
        <w:t xml:space="preserve"> zpracovali problematiku daňových úniků v Itálii, ve svém článku řeší hlavně závislost úniků DPH na </w:t>
      </w:r>
      <w:r w:rsidR="005A011D" w:rsidRPr="00CF7B03">
        <w:rPr>
          <w:rFonts w:asciiTheme="minorHAnsi" w:hAnsiTheme="minorHAnsi" w:cstheme="minorHAnsi"/>
          <w:bCs/>
        </w:rPr>
        <w:t xml:space="preserve">tzv. </w:t>
      </w:r>
      <w:r w:rsidR="00544D3A" w:rsidRPr="00CF7B03">
        <w:rPr>
          <w:rFonts w:asciiTheme="minorHAnsi" w:hAnsiTheme="minorHAnsi" w:cstheme="minorHAnsi"/>
          <w:bCs/>
        </w:rPr>
        <w:t xml:space="preserve">fiskálním tlaku. Autoři nepoužívají klasickou regresní analýzu, ale sledují rozdíl mezi oficiální daňovou zátěží (teoretická DPH/HDP) a skutečnou daňovou zátěží (vybraná DPH/HDP) a zjišťují, že tento ukazatel tzv. nadměrného zatížení (těch, co daně skutečně </w:t>
      </w:r>
      <w:r w:rsidR="00544D3A" w:rsidRPr="00CF7B03">
        <w:rPr>
          <w:rFonts w:asciiTheme="minorHAnsi" w:hAnsiTheme="minorHAnsi" w:cstheme="minorHAnsi"/>
          <w:bCs/>
        </w:rPr>
        <w:lastRenderedPageBreak/>
        <w:t>platí) je v čase stabilní. Z toho vyvozují, že po každé změně legislativy včetně změny sazby DPH směřuje chování daňových subjektů k určité rovnováze.</w:t>
      </w:r>
      <w:r w:rsidRPr="00CF7B03">
        <w:rPr>
          <w:rFonts w:asciiTheme="minorHAnsi" w:hAnsiTheme="minorHAnsi" w:cstheme="minorHAnsi"/>
          <w:bCs/>
        </w:rPr>
        <w:t xml:space="preserve"> </w:t>
      </w:r>
      <w:r w:rsidR="00544D3A" w:rsidRPr="00CF7B03">
        <w:rPr>
          <w:rFonts w:asciiTheme="minorHAnsi" w:hAnsiTheme="minorHAnsi" w:cstheme="minorHAnsi"/>
          <w:bCs/>
        </w:rPr>
        <w:t>V</w:t>
      </w:r>
      <w:r w:rsidRPr="00CF7B03">
        <w:rPr>
          <w:rFonts w:asciiTheme="minorHAnsi" w:hAnsiTheme="minorHAnsi" w:cstheme="minorHAnsi"/>
          <w:bCs/>
        </w:rPr>
        <w:t xml:space="preserve"> úvodu také vyčíslují daňovou mezeru DPH v Itálii v letech 1980 až 2004</w:t>
      </w:r>
      <w:r w:rsidRPr="00CF7B03">
        <w:rPr>
          <w:rFonts w:asciiTheme="minorHAnsi" w:hAnsiTheme="minorHAnsi" w:cstheme="minorHAnsi"/>
          <w:bCs/>
          <w:vertAlign w:val="superscript"/>
        </w:rPr>
        <w:footnoteReference w:id="7"/>
      </w:r>
      <w:r w:rsidRPr="00CF7B03">
        <w:rPr>
          <w:rFonts w:asciiTheme="minorHAnsi" w:hAnsiTheme="minorHAnsi" w:cstheme="minorHAnsi"/>
          <w:bCs/>
        </w:rPr>
        <w:t>, která se pohybovala mezi 37</w:t>
      </w:r>
      <w:r w:rsidR="00B13377" w:rsidRPr="00CF7B03">
        <w:rPr>
          <w:rFonts w:asciiTheme="minorHAnsi" w:hAnsiTheme="minorHAnsi" w:cstheme="minorHAnsi"/>
          <w:bCs/>
        </w:rPr>
        <w:t xml:space="preserve"> </w:t>
      </w:r>
      <w:r w:rsidRPr="00CF7B03">
        <w:rPr>
          <w:rFonts w:asciiTheme="minorHAnsi" w:hAnsiTheme="minorHAnsi" w:cstheme="minorHAnsi"/>
          <w:bCs/>
        </w:rPr>
        <w:t xml:space="preserve">% koncem 80. let </w:t>
      </w:r>
      <w:r w:rsidR="00A926F7" w:rsidRPr="00CF7B03">
        <w:rPr>
          <w:rFonts w:asciiTheme="minorHAnsi" w:hAnsiTheme="minorHAnsi" w:cstheme="minorHAnsi"/>
          <w:bCs/>
        </w:rPr>
        <w:t>a</w:t>
      </w:r>
      <w:r w:rsidRPr="00CF7B03">
        <w:rPr>
          <w:rFonts w:asciiTheme="minorHAnsi" w:hAnsiTheme="minorHAnsi" w:cstheme="minorHAnsi"/>
          <w:bCs/>
        </w:rPr>
        <w:t xml:space="preserve"> 27</w:t>
      </w:r>
      <w:r w:rsidR="00B13377" w:rsidRPr="00CF7B03">
        <w:rPr>
          <w:rFonts w:asciiTheme="minorHAnsi" w:hAnsiTheme="minorHAnsi" w:cstheme="minorHAnsi"/>
          <w:bCs/>
        </w:rPr>
        <w:t xml:space="preserve"> </w:t>
      </w:r>
      <w:r w:rsidRPr="00CF7B03">
        <w:rPr>
          <w:rFonts w:asciiTheme="minorHAnsi" w:hAnsiTheme="minorHAnsi" w:cstheme="minorHAnsi"/>
          <w:bCs/>
        </w:rPr>
        <w:t>% koncem 90. let minulého století a v dalších letech zase rostla až na 33</w:t>
      </w:r>
      <w:r w:rsidR="00B13377" w:rsidRPr="00CF7B03">
        <w:rPr>
          <w:rFonts w:asciiTheme="minorHAnsi" w:hAnsiTheme="minorHAnsi" w:cstheme="minorHAnsi"/>
          <w:bCs/>
        </w:rPr>
        <w:t xml:space="preserve"> </w:t>
      </w:r>
      <w:r w:rsidRPr="00CF7B03">
        <w:rPr>
          <w:rFonts w:asciiTheme="minorHAnsi" w:hAnsiTheme="minorHAnsi" w:cstheme="minorHAnsi"/>
          <w:bCs/>
        </w:rPr>
        <w:t xml:space="preserve">% v roce 2004. </w:t>
      </w:r>
    </w:p>
    <w:p w:rsidR="00E15251" w:rsidRPr="00CF7B03" w:rsidRDefault="00E15251" w:rsidP="007A5C5C">
      <w:pPr>
        <w:spacing w:after="120"/>
        <w:jc w:val="both"/>
        <w:rPr>
          <w:rFonts w:asciiTheme="minorHAnsi" w:hAnsiTheme="minorHAnsi" w:cstheme="minorHAnsi"/>
          <w:bCs/>
        </w:rPr>
      </w:pPr>
      <w:proofErr w:type="spellStart"/>
      <w:r w:rsidRPr="00CF7B03">
        <w:rPr>
          <w:rFonts w:asciiTheme="minorHAnsi" w:hAnsiTheme="minorHAnsi" w:cstheme="minorHAnsi"/>
          <w:bCs/>
        </w:rPr>
        <w:t>Chang</w:t>
      </w:r>
      <w:proofErr w:type="spellEnd"/>
      <w:r w:rsidRPr="00CF7B03">
        <w:rPr>
          <w:rFonts w:asciiTheme="minorHAnsi" w:hAnsiTheme="minorHAnsi" w:cstheme="minorHAnsi"/>
          <w:bCs/>
        </w:rPr>
        <w:t xml:space="preserve">, Gebauer, </w:t>
      </w:r>
      <w:proofErr w:type="spellStart"/>
      <w:r w:rsidRPr="00CF7B03">
        <w:rPr>
          <w:rFonts w:asciiTheme="minorHAnsi" w:hAnsiTheme="minorHAnsi" w:cstheme="minorHAnsi"/>
          <w:bCs/>
        </w:rPr>
        <w:t>Parsche</w:t>
      </w:r>
      <w:proofErr w:type="spellEnd"/>
      <w:r w:rsidRPr="00CF7B03">
        <w:rPr>
          <w:rFonts w:asciiTheme="minorHAnsi" w:hAnsiTheme="minorHAnsi" w:cstheme="minorHAnsi"/>
          <w:bCs/>
        </w:rPr>
        <w:t xml:space="preserve"> </w:t>
      </w:r>
      <w:r w:rsidR="00A926F7" w:rsidRPr="00CF7B03">
        <w:rPr>
          <w:rFonts w:asciiTheme="minorHAnsi" w:hAnsiTheme="minorHAnsi" w:cstheme="minorHAnsi"/>
          <w:bCs/>
        </w:rPr>
        <w:t>(2003)</w:t>
      </w:r>
      <w:r w:rsidRPr="00CF7B03">
        <w:rPr>
          <w:rFonts w:asciiTheme="minorHAnsi" w:hAnsiTheme="minorHAnsi" w:cstheme="minorHAnsi"/>
          <w:bCs/>
        </w:rPr>
        <w:t xml:space="preserve"> udávají vlastní odhady mezery DPH v Německu v letech 1994 až 2001 dosahující v průměru 6</w:t>
      </w:r>
      <w:r w:rsidR="00B13377" w:rsidRPr="00CF7B03">
        <w:rPr>
          <w:rFonts w:asciiTheme="minorHAnsi" w:hAnsiTheme="minorHAnsi" w:cstheme="minorHAnsi"/>
          <w:bCs/>
        </w:rPr>
        <w:t xml:space="preserve"> </w:t>
      </w:r>
      <w:r w:rsidRPr="00CF7B03">
        <w:rPr>
          <w:rFonts w:asciiTheme="minorHAnsi" w:hAnsiTheme="minorHAnsi" w:cstheme="minorHAnsi"/>
          <w:bCs/>
        </w:rPr>
        <w:t xml:space="preserve">%, i když v roce 2001 to bylo </w:t>
      </w:r>
      <w:r w:rsidR="005A011D" w:rsidRPr="00CF7B03">
        <w:rPr>
          <w:rFonts w:asciiTheme="minorHAnsi" w:hAnsiTheme="minorHAnsi" w:cstheme="minorHAnsi"/>
          <w:bCs/>
        </w:rPr>
        <w:t xml:space="preserve">již </w:t>
      </w:r>
      <w:r w:rsidRPr="00CF7B03">
        <w:rPr>
          <w:rFonts w:asciiTheme="minorHAnsi" w:hAnsiTheme="minorHAnsi" w:cstheme="minorHAnsi"/>
          <w:bCs/>
        </w:rPr>
        <w:t>9,7</w:t>
      </w:r>
      <w:r w:rsidR="00B13377" w:rsidRPr="00CF7B03">
        <w:rPr>
          <w:rFonts w:asciiTheme="minorHAnsi" w:hAnsiTheme="minorHAnsi" w:cstheme="minorHAnsi"/>
          <w:bCs/>
        </w:rPr>
        <w:t xml:space="preserve"> </w:t>
      </w:r>
      <w:r w:rsidRPr="00CF7B03">
        <w:rPr>
          <w:rFonts w:asciiTheme="minorHAnsi" w:hAnsiTheme="minorHAnsi" w:cstheme="minorHAnsi"/>
          <w:bCs/>
        </w:rPr>
        <w:t>%. Dále pak srovnávají hodnoty mezery DPH v 10 členských státech EU v letech 1994 až 1996. Nacházejí nejvyšší hodnoty průměrné daňové mezery v Belgii (19,3</w:t>
      </w:r>
      <w:r w:rsidR="00B13377" w:rsidRPr="00CF7B03">
        <w:rPr>
          <w:rFonts w:asciiTheme="minorHAnsi" w:hAnsiTheme="minorHAnsi" w:cstheme="minorHAnsi"/>
          <w:bCs/>
        </w:rPr>
        <w:t xml:space="preserve"> </w:t>
      </w:r>
      <w:r w:rsidRPr="00CF7B03">
        <w:rPr>
          <w:rFonts w:asciiTheme="minorHAnsi" w:hAnsiTheme="minorHAnsi" w:cstheme="minorHAnsi"/>
          <w:bCs/>
        </w:rPr>
        <w:t>%), v Řecku (20,2</w:t>
      </w:r>
      <w:r w:rsidR="00B13377" w:rsidRPr="00CF7B03">
        <w:rPr>
          <w:rFonts w:asciiTheme="minorHAnsi" w:hAnsiTheme="minorHAnsi" w:cstheme="minorHAnsi"/>
          <w:bCs/>
        </w:rPr>
        <w:t xml:space="preserve"> </w:t>
      </w:r>
      <w:r w:rsidRPr="00CF7B03">
        <w:rPr>
          <w:rFonts w:asciiTheme="minorHAnsi" w:hAnsiTheme="minorHAnsi" w:cstheme="minorHAnsi"/>
          <w:bCs/>
        </w:rPr>
        <w:t>%) a v Itálii (34,5</w:t>
      </w:r>
      <w:r w:rsidR="00B13377" w:rsidRPr="00CF7B03">
        <w:rPr>
          <w:rFonts w:asciiTheme="minorHAnsi" w:hAnsiTheme="minorHAnsi" w:cstheme="minorHAnsi"/>
          <w:bCs/>
        </w:rPr>
        <w:t xml:space="preserve"> </w:t>
      </w:r>
      <w:r w:rsidRPr="00CF7B03">
        <w:rPr>
          <w:rFonts w:asciiTheme="minorHAnsi" w:hAnsiTheme="minorHAnsi" w:cstheme="minorHAnsi"/>
          <w:bCs/>
        </w:rPr>
        <w:t>%) a naopak nejnižší úroveň daňových úniků v DPH v poměru k hypotetické daňové povinnosti v Nizozemí (2,4</w:t>
      </w:r>
      <w:r w:rsidR="00B13377" w:rsidRPr="00CF7B03">
        <w:rPr>
          <w:rFonts w:asciiTheme="minorHAnsi" w:hAnsiTheme="minorHAnsi" w:cstheme="minorHAnsi"/>
          <w:bCs/>
        </w:rPr>
        <w:t xml:space="preserve"> </w:t>
      </w:r>
      <w:r w:rsidRPr="00CF7B03">
        <w:rPr>
          <w:rFonts w:asciiTheme="minorHAnsi" w:hAnsiTheme="minorHAnsi" w:cstheme="minorHAnsi"/>
          <w:bCs/>
        </w:rPr>
        <w:t>%), ve Velké Británii (3,8</w:t>
      </w:r>
      <w:r w:rsidR="00B13377" w:rsidRPr="00CF7B03">
        <w:rPr>
          <w:rFonts w:asciiTheme="minorHAnsi" w:hAnsiTheme="minorHAnsi" w:cstheme="minorHAnsi"/>
          <w:bCs/>
        </w:rPr>
        <w:t xml:space="preserve"> </w:t>
      </w:r>
      <w:r w:rsidRPr="00CF7B03">
        <w:rPr>
          <w:rFonts w:asciiTheme="minorHAnsi" w:hAnsiTheme="minorHAnsi" w:cstheme="minorHAnsi"/>
          <w:bCs/>
        </w:rPr>
        <w:t>%) a v Dánsku (4,2</w:t>
      </w:r>
      <w:r w:rsidR="00B13377" w:rsidRPr="00CF7B03">
        <w:rPr>
          <w:rFonts w:asciiTheme="minorHAnsi" w:hAnsiTheme="minorHAnsi" w:cstheme="minorHAnsi"/>
          <w:bCs/>
        </w:rPr>
        <w:t xml:space="preserve"> </w:t>
      </w:r>
      <w:r w:rsidRPr="00CF7B03">
        <w:rPr>
          <w:rFonts w:asciiTheme="minorHAnsi" w:hAnsiTheme="minorHAnsi" w:cstheme="minorHAnsi"/>
          <w:bCs/>
        </w:rPr>
        <w:t>%).</w:t>
      </w:r>
    </w:p>
    <w:p w:rsidR="00E15251" w:rsidRPr="00CF7B03" w:rsidRDefault="00E15251" w:rsidP="007A5C5C">
      <w:pPr>
        <w:spacing w:after="120"/>
        <w:jc w:val="both"/>
        <w:rPr>
          <w:rFonts w:asciiTheme="minorHAnsi" w:hAnsiTheme="minorHAnsi" w:cstheme="minorHAnsi"/>
          <w:bCs/>
        </w:rPr>
      </w:pPr>
      <w:r w:rsidRPr="00CF7B03">
        <w:rPr>
          <w:rFonts w:asciiTheme="minorHAnsi" w:hAnsiTheme="minorHAnsi" w:cstheme="minorHAnsi"/>
          <w:bCs/>
        </w:rPr>
        <w:t xml:space="preserve">Christie a </w:t>
      </w:r>
      <w:proofErr w:type="spellStart"/>
      <w:r w:rsidRPr="00CF7B03">
        <w:rPr>
          <w:rFonts w:asciiTheme="minorHAnsi" w:hAnsiTheme="minorHAnsi" w:cstheme="minorHAnsi"/>
          <w:bCs/>
        </w:rPr>
        <w:t>Holzner</w:t>
      </w:r>
      <w:proofErr w:type="spellEnd"/>
      <w:r w:rsidRPr="00CF7B03">
        <w:rPr>
          <w:rFonts w:asciiTheme="minorHAnsi" w:hAnsiTheme="minorHAnsi" w:cstheme="minorHAnsi"/>
          <w:bCs/>
        </w:rPr>
        <w:t xml:space="preserve"> </w:t>
      </w:r>
      <w:r w:rsidR="00774C5F" w:rsidRPr="00CF7B03">
        <w:rPr>
          <w:rFonts w:asciiTheme="minorHAnsi" w:hAnsiTheme="minorHAnsi" w:cstheme="minorHAnsi"/>
          <w:bCs/>
        </w:rPr>
        <w:t>(2006)</w:t>
      </w:r>
      <w:r w:rsidRPr="00CF7B03">
        <w:rPr>
          <w:rFonts w:asciiTheme="minorHAnsi" w:hAnsiTheme="minorHAnsi" w:cstheme="minorHAnsi"/>
          <w:bCs/>
        </w:rPr>
        <w:t xml:space="preserve"> vyčíslují místo daňové mezery jiný indikátor daňových úniků, tzv. podíl skryté spotřeby a také opačný ukazatel tzv. míru plnění daňových povinnosti. Výpočty provádějí nepřímou metodou z národních účtů zvlášť pro DPH a zvlášť pro spotřební daně. Jejich odhady </w:t>
      </w:r>
      <w:r w:rsidR="00774C5F" w:rsidRPr="00CF7B03">
        <w:rPr>
          <w:rFonts w:asciiTheme="minorHAnsi" w:hAnsiTheme="minorHAnsi" w:cstheme="minorHAnsi"/>
          <w:bCs/>
        </w:rPr>
        <w:t>jsou vyšší než odhady mezery DPH ve výše jmenovaných pracích, je to zřejmě způsobeno odlišností použité metody</w:t>
      </w:r>
      <w:r w:rsidRPr="00CF7B03">
        <w:rPr>
          <w:rFonts w:asciiTheme="minorHAnsi" w:hAnsiTheme="minorHAnsi" w:cstheme="minorHAnsi"/>
          <w:bCs/>
        </w:rPr>
        <w:t xml:space="preserve">. </w:t>
      </w:r>
    </w:p>
    <w:p w:rsidR="00774C5F" w:rsidRPr="00CF7B03" w:rsidRDefault="00774C5F" w:rsidP="007A5C5C">
      <w:pPr>
        <w:spacing w:after="120"/>
        <w:jc w:val="both"/>
        <w:rPr>
          <w:rFonts w:asciiTheme="minorHAnsi" w:hAnsiTheme="minorHAnsi" w:cstheme="minorHAnsi"/>
          <w:bCs/>
        </w:rPr>
      </w:pPr>
      <w:proofErr w:type="spellStart"/>
      <w:r w:rsidRPr="00CF7B03">
        <w:rPr>
          <w:rFonts w:asciiTheme="minorHAnsi" w:hAnsiTheme="minorHAnsi" w:cstheme="minorHAnsi"/>
          <w:bCs/>
        </w:rPr>
        <w:t>Agha</w:t>
      </w:r>
      <w:proofErr w:type="spellEnd"/>
      <w:r w:rsidRPr="00CF7B03">
        <w:rPr>
          <w:rFonts w:asciiTheme="minorHAnsi" w:hAnsiTheme="minorHAnsi" w:cstheme="minorHAnsi"/>
          <w:bCs/>
        </w:rPr>
        <w:t xml:space="preserve"> a </w:t>
      </w:r>
      <w:proofErr w:type="spellStart"/>
      <w:r w:rsidRPr="00CF7B03">
        <w:rPr>
          <w:rFonts w:asciiTheme="minorHAnsi" w:hAnsiTheme="minorHAnsi" w:cstheme="minorHAnsi"/>
          <w:bCs/>
        </w:rPr>
        <w:t>Haughton</w:t>
      </w:r>
      <w:proofErr w:type="spellEnd"/>
      <w:r w:rsidRPr="00CF7B03">
        <w:rPr>
          <w:rFonts w:asciiTheme="minorHAnsi" w:hAnsiTheme="minorHAnsi" w:cstheme="minorHAnsi"/>
          <w:bCs/>
        </w:rPr>
        <w:t xml:space="preserve"> (1996) sledovali závislost mezi úniky DPH a základní sazbou DPH, počtem sazeb atd. K tomu používali odhady daňové mezery v 17 zemích OECD v roce 1987. Výše těchto odhadů však není v jejich práci bohužel uvedena. Tito autoři zjistili, že čím vyšší je sazba DPH, tím nižší je </w:t>
      </w:r>
      <w:r w:rsidR="00F04A34" w:rsidRPr="00CF7B03">
        <w:rPr>
          <w:rFonts w:asciiTheme="minorHAnsi" w:hAnsiTheme="minorHAnsi" w:cstheme="minorHAnsi"/>
          <w:bCs/>
        </w:rPr>
        <w:t>stupeň plnění daňových povinností, stejně tak počet daňových sazeb negativně ovlivňuje placení DPH, naopak výnosy z DPH se zvyšují s délkou fungování DPH v dané zemi a menší země mají nižší daňové úniky. Ostatní faktory, jako např. podíl DPH na HDP, podíl registrovaných plátců DPH v</w:t>
      </w:r>
      <w:r w:rsidR="00537F20" w:rsidRPr="00CF7B03">
        <w:rPr>
          <w:rFonts w:asciiTheme="minorHAnsi" w:hAnsiTheme="minorHAnsi" w:cstheme="minorHAnsi"/>
          <w:bCs/>
        </w:rPr>
        <w:t> </w:t>
      </w:r>
      <w:r w:rsidR="00F04A34" w:rsidRPr="00CF7B03">
        <w:rPr>
          <w:rFonts w:asciiTheme="minorHAnsi" w:hAnsiTheme="minorHAnsi" w:cstheme="minorHAnsi"/>
          <w:bCs/>
        </w:rPr>
        <w:t>populaci nebo přísnost penalizace se neprokázaly jako významné pro velikost mezery DPH.</w:t>
      </w:r>
    </w:p>
    <w:p w:rsidR="00DC1205" w:rsidRPr="00CF7B03" w:rsidRDefault="00245731" w:rsidP="007A5C5C">
      <w:pPr>
        <w:spacing w:after="120"/>
        <w:jc w:val="both"/>
        <w:rPr>
          <w:rFonts w:asciiTheme="minorHAnsi" w:hAnsiTheme="minorHAnsi" w:cstheme="minorHAnsi"/>
          <w:bCs/>
        </w:rPr>
      </w:pPr>
      <w:proofErr w:type="spellStart"/>
      <w:r w:rsidRPr="00CF7B03">
        <w:rPr>
          <w:rFonts w:asciiTheme="minorHAnsi" w:hAnsiTheme="minorHAnsi" w:cstheme="minorHAnsi"/>
          <w:bCs/>
        </w:rPr>
        <w:t>Aizenman</w:t>
      </w:r>
      <w:proofErr w:type="spellEnd"/>
      <w:r w:rsidRPr="00CF7B03">
        <w:rPr>
          <w:rFonts w:asciiTheme="minorHAnsi" w:hAnsiTheme="minorHAnsi" w:cstheme="minorHAnsi"/>
          <w:bCs/>
        </w:rPr>
        <w:t xml:space="preserve"> a </w:t>
      </w:r>
      <w:proofErr w:type="spellStart"/>
      <w:r w:rsidRPr="00CF7B03">
        <w:rPr>
          <w:rFonts w:asciiTheme="minorHAnsi" w:hAnsiTheme="minorHAnsi" w:cstheme="minorHAnsi"/>
          <w:bCs/>
        </w:rPr>
        <w:t>Jinjarak</w:t>
      </w:r>
      <w:proofErr w:type="spellEnd"/>
      <w:r w:rsidRPr="00CF7B03">
        <w:rPr>
          <w:rFonts w:asciiTheme="minorHAnsi" w:hAnsiTheme="minorHAnsi" w:cstheme="minorHAnsi"/>
          <w:bCs/>
        </w:rPr>
        <w:t xml:space="preserve"> (2005) se zabývali závislostí </w:t>
      </w:r>
      <w:r w:rsidR="00031FB2" w:rsidRPr="00CF7B03">
        <w:rPr>
          <w:rFonts w:asciiTheme="minorHAnsi" w:hAnsiTheme="minorHAnsi" w:cstheme="minorHAnsi"/>
          <w:bCs/>
        </w:rPr>
        <w:t>výkonnosti</w:t>
      </w:r>
      <w:r w:rsidRPr="00CF7B03">
        <w:rPr>
          <w:rFonts w:asciiTheme="minorHAnsi" w:hAnsiTheme="minorHAnsi" w:cstheme="minorHAnsi"/>
          <w:bCs/>
        </w:rPr>
        <w:t xml:space="preserve"> DPH </w:t>
      </w:r>
      <w:r w:rsidR="00031FB2" w:rsidRPr="00CF7B03">
        <w:rPr>
          <w:rFonts w:asciiTheme="minorHAnsi" w:hAnsiTheme="minorHAnsi" w:cstheme="minorHAnsi"/>
          <w:bCs/>
        </w:rPr>
        <w:t xml:space="preserve">z hlediska státního rozpočtu </w:t>
      </w:r>
      <w:r w:rsidRPr="00CF7B03">
        <w:rPr>
          <w:rFonts w:asciiTheme="minorHAnsi" w:hAnsiTheme="minorHAnsi" w:cstheme="minorHAnsi"/>
          <w:bCs/>
        </w:rPr>
        <w:t xml:space="preserve">na </w:t>
      </w:r>
      <w:r w:rsidR="00FD625B" w:rsidRPr="00CF7B03">
        <w:rPr>
          <w:rFonts w:asciiTheme="minorHAnsi" w:hAnsiTheme="minorHAnsi" w:cstheme="minorHAnsi"/>
          <w:bCs/>
        </w:rPr>
        <w:t xml:space="preserve">vybraných </w:t>
      </w:r>
      <w:r w:rsidRPr="00CF7B03">
        <w:rPr>
          <w:rFonts w:asciiTheme="minorHAnsi" w:hAnsiTheme="minorHAnsi" w:cstheme="minorHAnsi"/>
          <w:bCs/>
        </w:rPr>
        <w:t xml:space="preserve">vysvětlujících faktorech. Nepoužívali </w:t>
      </w:r>
      <w:r w:rsidR="00031FB2" w:rsidRPr="00CF7B03">
        <w:rPr>
          <w:rFonts w:asciiTheme="minorHAnsi" w:hAnsiTheme="minorHAnsi" w:cstheme="minorHAnsi"/>
          <w:bCs/>
        </w:rPr>
        <w:t>údaj o mezeře DPH, ale tzv. C-ratio, které vyjadřuje nejen daňové úniky, ale i čistotu daňového systému. C-ratio je vypočteno ja</w:t>
      </w:r>
      <w:r w:rsidR="00FD625B" w:rsidRPr="00CF7B03">
        <w:rPr>
          <w:rFonts w:asciiTheme="minorHAnsi" w:hAnsiTheme="minorHAnsi" w:cstheme="minorHAnsi"/>
          <w:bCs/>
        </w:rPr>
        <w:t>ko</w:t>
      </w:r>
      <w:r w:rsidR="00031FB2" w:rsidRPr="00CF7B03">
        <w:rPr>
          <w:rFonts w:asciiTheme="minorHAnsi" w:hAnsiTheme="minorHAnsi" w:cstheme="minorHAnsi"/>
          <w:bCs/>
        </w:rPr>
        <w:t xml:space="preserve"> </w:t>
      </w:r>
      <w:r w:rsidR="000144C1" w:rsidRPr="00CF7B03">
        <w:rPr>
          <w:rFonts w:asciiTheme="minorHAnsi" w:hAnsiTheme="minorHAnsi" w:cstheme="minorHAnsi"/>
          <w:bCs/>
        </w:rPr>
        <w:t xml:space="preserve">podíl </w:t>
      </w:r>
      <w:r w:rsidR="00031FB2" w:rsidRPr="00CF7B03">
        <w:rPr>
          <w:rFonts w:asciiTheme="minorHAnsi" w:hAnsiTheme="minorHAnsi" w:cstheme="minorHAnsi"/>
          <w:bCs/>
        </w:rPr>
        <w:t>výnos</w:t>
      </w:r>
      <w:r w:rsidR="000144C1" w:rsidRPr="00CF7B03">
        <w:rPr>
          <w:rFonts w:asciiTheme="minorHAnsi" w:hAnsiTheme="minorHAnsi" w:cstheme="minorHAnsi"/>
          <w:bCs/>
        </w:rPr>
        <w:t>u</w:t>
      </w:r>
      <w:r w:rsidR="00031FB2" w:rsidRPr="00CF7B03">
        <w:rPr>
          <w:rFonts w:asciiTheme="minorHAnsi" w:hAnsiTheme="minorHAnsi" w:cstheme="minorHAnsi"/>
          <w:bCs/>
        </w:rPr>
        <w:t xml:space="preserve"> z DPH </w:t>
      </w:r>
      <w:r w:rsidR="000144C1" w:rsidRPr="00CF7B03">
        <w:rPr>
          <w:rFonts w:asciiTheme="minorHAnsi" w:hAnsiTheme="minorHAnsi" w:cstheme="minorHAnsi"/>
          <w:bCs/>
        </w:rPr>
        <w:t>děleného</w:t>
      </w:r>
      <w:r w:rsidR="00031FB2" w:rsidRPr="00CF7B03">
        <w:rPr>
          <w:rFonts w:asciiTheme="minorHAnsi" w:hAnsiTheme="minorHAnsi" w:cstheme="minorHAnsi"/>
          <w:bCs/>
        </w:rPr>
        <w:t xml:space="preserve"> celkov</w:t>
      </w:r>
      <w:r w:rsidR="000144C1" w:rsidRPr="00CF7B03">
        <w:rPr>
          <w:rFonts w:asciiTheme="minorHAnsi" w:hAnsiTheme="minorHAnsi" w:cstheme="minorHAnsi"/>
          <w:bCs/>
        </w:rPr>
        <w:t>ou</w:t>
      </w:r>
      <w:r w:rsidR="00031FB2" w:rsidRPr="00CF7B03">
        <w:rPr>
          <w:rFonts w:asciiTheme="minorHAnsi" w:hAnsiTheme="minorHAnsi" w:cstheme="minorHAnsi"/>
          <w:bCs/>
        </w:rPr>
        <w:t xml:space="preserve"> spotřeb</w:t>
      </w:r>
      <w:r w:rsidR="000144C1" w:rsidRPr="00CF7B03">
        <w:rPr>
          <w:rFonts w:asciiTheme="minorHAnsi" w:hAnsiTheme="minorHAnsi" w:cstheme="minorHAnsi"/>
          <w:bCs/>
        </w:rPr>
        <w:t>ou (tedy jakési efektivní sazby DPH)</w:t>
      </w:r>
      <w:r w:rsidR="00031FB2" w:rsidRPr="00CF7B03">
        <w:rPr>
          <w:rFonts w:asciiTheme="minorHAnsi" w:hAnsiTheme="minorHAnsi" w:cstheme="minorHAnsi"/>
          <w:bCs/>
        </w:rPr>
        <w:t xml:space="preserve"> </w:t>
      </w:r>
      <w:r w:rsidR="000144C1" w:rsidRPr="00CF7B03">
        <w:rPr>
          <w:rFonts w:asciiTheme="minorHAnsi" w:hAnsiTheme="minorHAnsi" w:cstheme="minorHAnsi"/>
          <w:bCs/>
        </w:rPr>
        <w:t xml:space="preserve">a </w:t>
      </w:r>
      <w:r w:rsidR="00031FB2" w:rsidRPr="00CF7B03">
        <w:rPr>
          <w:rFonts w:asciiTheme="minorHAnsi" w:hAnsiTheme="minorHAnsi" w:cstheme="minorHAnsi"/>
          <w:bCs/>
        </w:rPr>
        <w:t>základní sazb</w:t>
      </w:r>
      <w:r w:rsidR="000144C1" w:rsidRPr="00CF7B03">
        <w:rPr>
          <w:rFonts w:asciiTheme="minorHAnsi" w:hAnsiTheme="minorHAnsi" w:cstheme="minorHAnsi"/>
          <w:bCs/>
        </w:rPr>
        <w:t>y</w:t>
      </w:r>
      <w:r w:rsidR="00031FB2" w:rsidRPr="00CF7B03">
        <w:rPr>
          <w:rFonts w:asciiTheme="minorHAnsi" w:hAnsiTheme="minorHAnsi" w:cstheme="minorHAnsi"/>
          <w:bCs/>
        </w:rPr>
        <w:t xml:space="preserve"> </w:t>
      </w:r>
      <w:r w:rsidR="00FD625B" w:rsidRPr="00CF7B03">
        <w:rPr>
          <w:rFonts w:asciiTheme="minorHAnsi" w:hAnsiTheme="minorHAnsi" w:cstheme="minorHAnsi"/>
          <w:bCs/>
        </w:rPr>
        <w:t>DPH</w:t>
      </w:r>
      <w:r w:rsidR="000144C1" w:rsidRPr="00CF7B03">
        <w:rPr>
          <w:rFonts w:asciiTheme="minorHAnsi" w:hAnsiTheme="minorHAnsi" w:cstheme="minorHAnsi"/>
          <w:bCs/>
        </w:rPr>
        <w:t>. C-ratio</w:t>
      </w:r>
      <w:r w:rsidR="00031FB2" w:rsidRPr="00CF7B03">
        <w:rPr>
          <w:rFonts w:asciiTheme="minorHAnsi" w:hAnsiTheme="minorHAnsi" w:cstheme="minorHAnsi"/>
          <w:bCs/>
        </w:rPr>
        <w:t xml:space="preserve"> dosahuje hodnoty 1, pokud je uplatňována základní sazba na celou produkci a zároveň neexistují daňové úniky.</w:t>
      </w:r>
      <w:r w:rsidRPr="00CF7B03">
        <w:rPr>
          <w:rFonts w:asciiTheme="minorHAnsi" w:hAnsiTheme="minorHAnsi" w:cstheme="minorHAnsi"/>
          <w:bCs/>
        </w:rPr>
        <w:t xml:space="preserve"> </w:t>
      </w:r>
      <w:r w:rsidR="00031FB2" w:rsidRPr="00CF7B03">
        <w:rPr>
          <w:rFonts w:asciiTheme="minorHAnsi" w:hAnsiTheme="minorHAnsi" w:cstheme="minorHAnsi"/>
          <w:bCs/>
        </w:rPr>
        <w:t>Autoři identifikovali jako faktor snižující C-ratio</w:t>
      </w:r>
      <w:r w:rsidR="00FD625B" w:rsidRPr="00CF7B03">
        <w:rPr>
          <w:rFonts w:asciiTheme="minorHAnsi" w:hAnsiTheme="minorHAnsi" w:cstheme="minorHAnsi"/>
          <w:bCs/>
        </w:rPr>
        <w:t>, a tedy efektivitu výběru daně</w:t>
      </w:r>
      <w:r w:rsidR="00031FB2" w:rsidRPr="00CF7B03">
        <w:rPr>
          <w:rFonts w:asciiTheme="minorHAnsi" w:hAnsiTheme="minorHAnsi" w:cstheme="minorHAnsi"/>
          <w:bCs/>
        </w:rPr>
        <w:t xml:space="preserve">, </w:t>
      </w:r>
      <w:r w:rsidR="00FD625B" w:rsidRPr="00CF7B03">
        <w:rPr>
          <w:rFonts w:asciiTheme="minorHAnsi" w:hAnsiTheme="minorHAnsi" w:cstheme="minorHAnsi"/>
          <w:bCs/>
        </w:rPr>
        <w:t xml:space="preserve">podíl zemědělské výroby. Naopak vyšší </w:t>
      </w:r>
      <w:r w:rsidR="00031FB2" w:rsidRPr="00CF7B03">
        <w:rPr>
          <w:rFonts w:asciiTheme="minorHAnsi" w:hAnsiTheme="minorHAnsi" w:cstheme="minorHAnsi"/>
          <w:bCs/>
        </w:rPr>
        <w:t>urbanizac</w:t>
      </w:r>
      <w:r w:rsidR="00FD625B" w:rsidRPr="00CF7B03">
        <w:rPr>
          <w:rFonts w:asciiTheme="minorHAnsi" w:hAnsiTheme="minorHAnsi" w:cstheme="minorHAnsi"/>
          <w:bCs/>
        </w:rPr>
        <w:t>e</w:t>
      </w:r>
      <w:r w:rsidR="00031FB2" w:rsidRPr="00CF7B03">
        <w:rPr>
          <w:rFonts w:asciiTheme="minorHAnsi" w:hAnsiTheme="minorHAnsi" w:cstheme="minorHAnsi"/>
          <w:bCs/>
        </w:rPr>
        <w:t>, obchodní otevřenost státu</w:t>
      </w:r>
      <w:r w:rsidR="00FD625B" w:rsidRPr="00CF7B03">
        <w:rPr>
          <w:rFonts w:asciiTheme="minorHAnsi" w:hAnsiTheme="minorHAnsi" w:cstheme="minorHAnsi"/>
          <w:bCs/>
        </w:rPr>
        <w:t>, stabilita politického systému a HDP na obyvatele C-ratio zvyšují.</w:t>
      </w:r>
    </w:p>
    <w:p w:rsidR="006A0AD9" w:rsidRPr="00CF7B03" w:rsidRDefault="002E4965" w:rsidP="006A0AD9">
      <w:pPr>
        <w:spacing w:after="120"/>
        <w:jc w:val="both"/>
        <w:rPr>
          <w:rFonts w:asciiTheme="minorHAnsi" w:hAnsiTheme="minorHAnsi" w:cstheme="minorHAnsi"/>
          <w:bCs/>
        </w:rPr>
      </w:pPr>
      <w:r w:rsidRPr="00CF7B03">
        <w:rPr>
          <w:rFonts w:asciiTheme="minorHAnsi" w:hAnsiTheme="minorHAnsi" w:cstheme="minorHAnsi"/>
          <w:bCs/>
        </w:rPr>
        <w:fldChar w:fldCharType="begin"/>
      </w:r>
      <w:r w:rsidRPr="00CF7B03">
        <w:rPr>
          <w:rFonts w:asciiTheme="minorHAnsi" w:hAnsiTheme="minorHAnsi" w:cstheme="minorHAnsi"/>
          <w:bCs/>
        </w:rPr>
        <w:instrText xml:space="preserve"> ADDIN ZOTERO_ITEM CSL_CITATION {"citationID":"mTPiSls0","properties":{"formattedCitation":"(Bodin et al. 2001)","plainCitation":"(Bodin et al. 2001)"},"citationItems":[{"id":38,"uris":["http://zotero.org/users/1096616/items/G3M4MAJN"],"uri":["http://zotero.org/users/1096616/items/G3M4MAJN"],"itemData":{"id":38,"type":"book","title":"The Modern VAT","publisher":"International Monetary Fund","number-of-pages":"242","abstract":"Value-added tax, or VAT, first introduced less than 50 years ago, is now a pivotal component of tax systems around the world. The rapid and seemingly irresistible rise of the VAT is probably the most important tax development of the latter twentieth century, and certainly the most breathtaking. Written by a team of experts from the IMF, this book examines the remarkable spread and current reach of the innovative tax and draws lessons about the design and implementation of the VAT, as experienced by different countries around the world. How efficient is it as a tax, is it fair, and is it suitable for all countries? These are among the questions raised. This highly informatiove and well-researched book also looks at the likely future of the tax.","ISBN":"9781589060265","language":"en","author":[{"family":"Bodin","given":"Jean-Paul"},{"family":"Ebrill","given":"Liam P."},{"family":"Keen","given":"Michael"},{"family":"Summers","given":"Victoria P."}],"issued":{"year":2001,"month":11,"day":5}}}],"schema":"https://github.com/citation-style-language/schema/raw/master/csl-citation.json"} </w:instrText>
      </w:r>
      <w:r w:rsidRPr="00CF7B03">
        <w:rPr>
          <w:rFonts w:asciiTheme="minorHAnsi" w:hAnsiTheme="minorHAnsi" w:cstheme="minorHAnsi"/>
          <w:bCs/>
        </w:rPr>
        <w:fldChar w:fldCharType="separate"/>
      </w:r>
      <w:r w:rsidRPr="00CF7B03">
        <w:rPr>
          <w:rFonts w:asciiTheme="minorHAnsi" w:hAnsiTheme="minorHAnsi" w:cstheme="minorHAnsi"/>
          <w:bCs/>
        </w:rPr>
        <w:t>Bodin et al. (2001)</w:t>
      </w:r>
      <w:r w:rsidRPr="00CF7B03">
        <w:rPr>
          <w:rFonts w:asciiTheme="minorHAnsi" w:hAnsiTheme="minorHAnsi" w:cstheme="minorHAnsi"/>
          <w:bCs/>
        </w:rPr>
        <w:fldChar w:fldCharType="end"/>
      </w:r>
      <w:r w:rsidRPr="00CF7B03">
        <w:rPr>
          <w:rFonts w:asciiTheme="minorHAnsi" w:hAnsiTheme="minorHAnsi" w:cstheme="minorHAnsi"/>
          <w:bCs/>
        </w:rPr>
        <w:t xml:space="preserve"> sleduje závislost efektivnosti výběru DPH vyjádřeného tzv. VRR na mnoha faktorech. </w:t>
      </w:r>
      <w:r w:rsidR="00C2569E" w:rsidRPr="00CF7B03">
        <w:rPr>
          <w:rFonts w:asciiTheme="minorHAnsi" w:hAnsiTheme="minorHAnsi" w:cstheme="minorHAnsi"/>
          <w:bCs/>
        </w:rPr>
        <w:t xml:space="preserve">Indikátor </w:t>
      </w:r>
      <w:r w:rsidR="00C2569E" w:rsidRPr="00CF7B03">
        <w:rPr>
          <w:rFonts w:asciiTheme="minorHAnsi" w:hAnsiTheme="minorHAnsi" w:cstheme="minorHAnsi"/>
          <w:bCs/>
          <w:i/>
        </w:rPr>
        <w:t>VRR</w:t>
      </w:r>
      <w:r w:rsidR="0077312D" w:rsidRPr="00CF7B03">
        <w:rPr>
          <w:rFonts w:asciiTheme="minorHAnsi" w:hAnsiTheme="minorHAnsi" w:cstheme="minorHAnsi"/>
          <w:bCs/>
          <w:i/>
        </w:rPr>
        <w:t xml:space="preserve"> (VAT </w:t>
      </w:r>
      <w:proofErr w:type="spellStart"/>
      <w:r w:rsidR="0077312D" w:rsidRPr="00CF7B03">
        <w:rPr>
          <w:rFonts w:asciiTheme="minorHAnsi" w:hAnsiTheme="minorHAnsi" w:cstheme="minorHAnsi"/>
          <w:bCs/>
          <w:i/>
        </w:rPr>
        <w:t>Revenue</w:t>
      </w:r>
      <w:proofErr w:type="spellEnd"/>
      <w:r w:rsidR="0077312D" w:rsidRPr="00CF7B03">
        <w:rPr>
          <w:rFonts w:asciiTheme="minorHAnsi" w:hAnsiTheme="minorHAnsi" w:cstheme="minorHAnsi"/>
          <w:bCs/>
          <w:i/>
        </w:rPr>
        <w:t xml:space="preserve"> Ratio)</w:t>
      </w:r>
      <w:r w:rsidR="00C2569E" w:rsidRPr="00CF7B03">
        <w:rPr>
          <w:rFonts w:asciiTheme="minorHAnsi" w:hAnsiTheme="minorHAnsi" w:cstheme="minorHAnsi"/>
          <w:bCs/>
        </w:rPr>
        <w:t xml:space="preserve"> se v</w:t>
      </w:r>
      <w:r w:rsidR="006A0AD9" w:rsidRPr="00CF7B03">
        <w:rPr>
          <w:rFonts w:asciiTheme="minorHAnsi" w:hAnsiTheme="minorHAnsi" w:cstheme="minorHAnsi"/>
          <w:bCs/>
        </w:rPr>
        <w:t>ypočítává se podle následujícího vzorce:</w:t>
      </w:r>
    </w:p>
    <w:p w:rsidR="001A2D7E" w:rsidRPr="00CF7B03" w:rsidRDefault="00C2569E" w:rsidP="00C2569E">
      <w:pPr>
        <w:spacing w:after="120"/>
        <w:jc w:val="center"/>
        <w:rPr>
          <w:rFonts w:asciiTheme="minorHAnsi" w:hAnsiTheme="minorHAnsi" w:cstheme="minorHAnsi"/>
          <w:bCs/>
        </w:rPr>
      </w:pPr>
      <w:r w:rsidRPr="00CF7B03">
        <w:rPr>
          <w:rFonts w:asciiTheme="minorHAnsi" w:hAnsiTheme="minorHAnsi" w:cstheme="minorHAnsi"/>
          <w:position w:val="-14"/>
        </w:rPr>
        <w:t xml:space="preserve">                                      </w:t>
      </w:r>
      <w:r w:rsidR="0077312D" w:rsidRPr="00CF7B03">
        <w:rPr>
          <w:rFonts w:asciiTheme="minorHAnsi" w:hAnsiTheme="minorHAnsi" w:cstheme="minorHAnsi"/>
          <w:position w:val="-14"/>
        </w:rPr>
        <w:t xml:space="preserve">            </w:t>
      </w:r>
      <m:oMath>
        <m:r>
          <w:rPr>
            <w:rFonts w:ascii="Cambria Math" w:hAnsi="Cambria Math" w:cstheme="minorHAnsi"/>
          </w:rPr>
          <m:t>VRR=</m:t>
        </m:r>
        <m:f>
          <m:fPr>
            <m:ctrlPr>
              <w:rPr>
                <w:rFonts w:ascii="Cambria Math" w:hAnsi="Cambria Math" w:cstheme="minorHAnsi"/>
                <w:i/>
              </w:rPr>
            </m:ctrlPr>
          </m:fPr>
          <m:num>
            <m:r>
              <w:rPr>
                <w:rFonts w:ascii="Cambria Math" w:hAnsi="Cambria Math" w:cstheme="minorHAnsi"/>
              </w:rPr>
              <m:t>VR</m:t>
            </m:r>
          </m:num>
          <m:den>
            <m:r>
              <w:rPr>
                <w:rFonts w:ascii="Cambria Math" w:hAnsi="Cambria Math" w:cstheme="minorHAnsi"/>
              </w:rPr>
              <m:t>B.r</m:t>
            </m:r>
          </m:den>
        </m:f>
      </m:oMath>
      <w:r w:rsidR="0077312D" w:rsidRPr="00CF7B03">
        <w:rPr>
          <w:rFonts w:asciiTheme="minorHAnsi" w:hAnsiTheme="minorHAnsi" w:cstheme="minorHAnsi"/>
          <w:position w:val="-14"/>
        </w:rPr>
        <w:t xml:space="preserve">        </w:t>
      </w:r>
      <w:r w:rsidRPr="00CF7B03">
        <w:rPr>
          <w:rFonts w:asciiTheme="minorHAnsi" w:hAnsiTheme="minorHAnsi" w:cstheme="minorHAnsi"/>
          <w:position w:val="-14"/>
        </w:rPr>
        <w:tab/>
        <w:t xml:space="preserve">                          </w:t>
      </w:r>
      <w:r w:rsidR="0077312D" w:rsidRPr="00CF7B03">
        <w:rPr>
          <w:rFonts w:asciiTheme="minorHAnsi" w:hAnsiTheme="minorHAnsi" w:cstheme="minorHAnsi"/>
          <w:position w:val="-14"/>
        </w:rPr>
        <w:t xml:space="preserve">        </w:t>
      </w:r>
      <w:r w:rsidRPr="00CF7B03">
        <w:rPr>
          <w:rFonts w:asciiTheme="minorHAnsi" w:hAnsiTheme="minorHAnsi" w:cstheme="minorHAnsi"/>
          <w:position w:val="-14"/>
        </w:rPr>
        <w:t xml:space="preserve">                         (1)</w:t>
      </w:r>
    </w:p>
    <w:p w:rsidR="006A0AD9" w:rsidRPr="00CF7B03" w:rsidRDefault="0077312D" w:rsidP="00C2569E">
      <w:pPr>
        <w:spacing w:after="120"/>
        <w:jc w:val="both"/>
        <w:rPr>
          <w:rFonts w:asciiTheme="minorHAnsi" w:hAnsiTheme="minorHAnsi" w:cstheme="minorHAnsi"/>
          <w:position w:val="-14"/>
        </w:rPr>
      </w:pPr>
      <w:r w:rsidRPr="00CF7B03">
        <w:rPr>
          <w:rFonts w:asciiTheme="minorHAnsi" w:hAnsiTheme="minorHAnsi" w:cstheme="minorHAnsi"/>
          <w:position w:val="-14"/>
        </w:rPr>
        <w:t>kde</w:t>
      </w:r>
      <w:r w:rsidR="006A0AD9" w:rsidRPr="00CF7B03">
        <w:rPr>
          <w:rFonts w:asciiTheme="minorHAnsi" w:hAnsiTheme="minorHAnsi" w:cstheme="minorHAnsi"/>
          <w:position w:val="-14"/>
        </w:rPr>
        <w:t xml:space="preserve">, </w:t>
      </w:r>
      <w:r w:rsidR="006A0AD9" w:rsidRPr="00CF7B03">
        <w:rPr>
          <w:rFonts w:asciiTheme="minorHAnsi" w:hAnsiTheme="minorHAnsi" w:cstheme="minorHAnsi"/>
          <w:i/>
          <w:position w:val="-14"/>
        </w:rPr>
        <w:t>VR</w:t>
      </w:r>
      <w:r w:rsidR="006A0AD9" w:rsidRPr="00CF7B03">
        <w:rPr>
          <w:rFonts w:asciiTheme="minorHAnsi" w:hAnsiTheme="minorHAnsi" w:cstheme="minorHAnsi"/>
          <w:position w:val="-14"/>
        </w:rPr>
        <w:t xml:space="preserve"> jsou celkové výnosy z DPH, </w:t>
      </w:r>
      <w:r w:rsidR="006A0AD9" w:rsidRPr="00CF7B03">
        <w:rPr>
          <w:rFonts w:asciiTheme="minorHAnsi" w:hAnsiTheme="minorHAnsi" w:cstheme="minorHAnsi"/>
          <w:i/>
          <w:position w:val="-14"/>
        </w:rPr>
        <w:t>B</w:t>
      </w:r>
      <w:r w:rsidR="006A0AD9" w:rsidRPr="00CF7B03">
        <w:rPr>
          <w:rFonts w:asciiTheme="minorHAnsi" w:hAnsiTheme="minorHAnsi" w:cstheme="minorHAnsi"/>
          <w:position w:val="-14"/>
        </w:rPr>
        <w:t xml:space="preserve"> je konečná spotřeba domácností, neziskových organizací a vlády snížená o výnosy z DPH (protože je v národním účetnictví vyjádřena v konečných cenách včetně DPH), </w:t>
      </w:r>
      <w:r w:rsidR="006A0AD9" w:rsidRPr="00CF7B03">
        <w:rPr>
          <w:rFonts w:asciiTheme="minorHAnsi" w:hAnsiTheme="minorHAnsi" w:cstheme="minorHAnsi"/>
          <w:i/>
          <w:position w:val="-14"/>
        </w:rPr>
        <w:t>r</w:t>
      </w:r>
      <w:r w:rsidR="006A0AD9" w:rsidRPr="00CF7B03">
        <w:rPr>
          <w:rFonts w:asciiTheme="minorHAnsi" w:hAnsiTheme="minorHAnsi" w:cstheme="minorHAnsi"/>
          <w:position w:val="-14"/>
        </w:rPr>
        <w:t xml:space="preserve"> je základní sazba DPH uplatňovaná v daném státě.  </w:t>
      </w:r>
    </w:p>
    <w:p w:rsidR="00E308DD" w:rsidRPr="00CF7B03" w:rsidRDefault="004249DB" w:rsidP="007A5C5C">
      <w:pPr>
        <w:spacing w:after="120"/>
        <w:jc w:val="both"/>
        <w:rPr>
          <w:rFonts w:asciiTheme="minorHAnsi" w:hAnsiTheme="minorHAnsi" w:cstheme="minorHAnsi"/>
          <w:bCs/>
        </w:rPr>
      </w:pPr>
      <w:r w:rsidRPr="00CF7B03">
        <w:rPr>
          <w:rFonts w:asciiTheme="minorHAnsi" w:hAnsiTheme="minorHAnsi" w:cstheme="minorHAnsi"/>
          <w:bCs/>
        </w:rPr>
        <w:fldChar w:fldCharType="begin"/>
      </w:r>
      <w:r w:rsidRPr="00CF7B03">
        <w:rPr>
          <w:rFonts w:asciiTheme="minorHAnsi" w:hAnsiTheme="minorHAnsi" w:cstheme="minorHAnsi"/>
          <w:bCs/>
        </w:rPr>
        <w:instrText xml:space="preserve"> ADDIN ZOTERO_ITEM CSL_CITATION {"citationID":"7QpnCWNZ","properties":{"formattedCitation":"(Bird, Martinez-Vazquez, a Torgler 2004)","plainCitation":"(Bird, Martinez-Vazquez, a Torgler 2004)"},"citationItems":[{"id":101,"uris":["http://zotero.org/users/1096616/items/5WRCN7MP"],"uri":["http://zotero.org/users/1096616/items/5WRCN7MP"],"itemData":{"id":101,"type":"article-journal","title":"Societal Institutions and Tax Effort in Developing Countries","container-title":"SSRN eLibrary","abstract":"The main theme of this paper is that a more legitimate and responsive state appears to be an essential precondition for a more adequate level of tax effort in developing countries. While at first glance giving such advice to poor countries seeking to increase their tax ratios may not seem more helpful than telling them to find oil, it is presumably more feasible for people to improve their governing institutions than to rearrange nature's bounty. Furthermore, improving social institutions, such as enhancing the rule of law and reducing corruption, may not take longer nor be necessarily more difficult than changing the opportunities for tax economy or the weight of imports and exports in GDP. The most important contribution of this paper is to extend the conventional model of tax effort by showing that not only do supply factors matter, but that societal institutions (demand factors) also determine tax effort to a significant level.","URL":"http://papers.ssrn.com/sol3/papers.cfm?abstract_id=662081","author":[{"family":"Bird","given":"Richard M."},{"family":"Martinez-Vazquez","given":"Jorge"},{"family":"Torgler","given":"Benno"}],"issued":{"year":2004,"season":"CREMA Working Paper No"},"accessed":{"year":2012,"month":9,"day":28}}}],"schema":"https://github.com/citation-style-language/schema/raw/master/csl-citation.json"} </w:instrText>
      </w:r>
      <w:r w:rsidRPr="00CF7B03">
        <w:rPr>
          <w:rFonts w:asciiTheme="minorHAnsi" w:hAnsiTheme="minorHAnsi" w:cstheme="minorHAnsi"/>
          <w:bCs/>
        </w:rPr>
        <w:fldChar w:fldCharType="separate"/>
      </w:r>
      <w:r w:rsidRPr="00CF7B03">
        <w:rPr>
          <w:rFonts w:asciiTheme="minorHAnsi" w:hAnsiTheme="minorHAnsi" w:cstheme="minorHAnsi"/>
        </w:rPr>
        <w:t>Bird, Martinez-Vazquez, a Torgler (2004)</w:t>
      </w:r>
      <w:r w:rsidRPr="00CF7B03">
        <w:rPr>
          <w:rFonts w:asciiTheme="minorHAnsi" w:hAnsiTheme="minorHAnsi" w:cstheme="minorHAnsi"/>
          <w:bCs/>
        </w:rPr>
        <w:fldChar w:fldCharType="end"/>
      </w:r>
      <w:r w:rsidRPr="00CF7B03">
        <w:rPr>
          <w:rFonts w:asciiTheme="minorHAnsi" w:hAnsiTheme="minorHAnsi" w:cstheme="minorHAnsi"/>
          <w:bCs/>
        </w:rPr>
        <w:t xml:space="preserve"> se soustřeďují v hledání vysvětlujících proměnných daňových úniků zejména v rozvojových zemích na tzv. faktory poptávky, tzn. sociální a institucionální veličiny zahrnující např. index efektivnosti vlády, index rizika pro zahraniční investory, regulace vstupu na trh, daňovou morálku populace, příjmovou nerovn</w:t>
      </w:r>
      <w:r w:rsidR="003D47D5" w:rsidRPr="00CF7B03">
        <w:rPr>
          <w:rFonts w:asciiTheme="minorHAnsi" w:hAnsiTheme="minorHAnsi" w:cstheme="minorHAnsi"/>
          <w:bCs/>
        </w:rPr>
        <w:t>ost a fiskální decentralizaci. T</w:t>
      </w:r>
      <w:r w:rsidRPr="00CF7B03">
        <w:rPr>
          <w:rFonts w:asciiTheme="minorHAnsi" w:hAnsiTheme="minorHAnsi" w:cstheme="minorHAnsi"/>
          <w:bCs/>
        </w:rPr>
        <w:t>ato studie ale nezkoumá přímo úniky na DPH nýbrž celkový výběr daní vůči HDP.</w:t>
      </w:r>
    </w:p>
    <w:p w:rsidR="004249DB" w:rsidRPr="00CF7B03" w:rsidRDefault="00ED25C5" w:rsidP="007A5C5C">
      <w:pPr>
        <w:spacing w:after="120"/>
        <w:jc w:val="both"/>
        <w:rPr>
          <w:rFonts w:asciiTheme="minorHAnsi" w:hAnsiTheme="minorHAnsi" w:cstheme="minorHAnsi"/>
          <w:bCs/>
        </w:rPr>
      </w:pPr>
      <w:r w:rsidRPr="00CF7B03">
        <w:rPr>
          <w:rFonts w:asciiTheme="minorHAnsi" w:hAnsiTheme="minorHAnsi" w:cstheme="minorHAnsi"/>
          <w:bCs/>
        </w:rPr>
        <w:fldChar w:fldCharType="begin"/>
      </w:r>
      <w:r w:rsidRPr="00CF7B03">
        <w:rPr>
          <w:rFonts w:asciiTheme="minorHAnsi" w:hAnsiTheme="minorHAnsi" w:cstheme="minorHAnsi"/>
          <w:bCs/>
        </w:rPr>
        <w:instrText xml:space="preserve"> ADDIN ZOTERO_ITEM CSL_CITATION {"citationID":"qetlzLwT","properties":{"formattedCitation":"{\\rtf (Barbone, Bird, a V\\uc0\\u225{}zquez-Caro 2012)}","plainCitation":"(Barbone, Bird, a Vázquez-Caro 2012)"},"citationItems":[{"id":56,"uris":["http://zotero.org/users/1096616/items/IAHJJ6M7"],"uri":["http://zotero.org/users/1096616/items/IAHJJ6M7"],"itemData":{"id":56,"type":"article-journal","title":"The Costs of VAT: A Review of the Literature","container-title":"CASE Network Reports","page":"2-66","issue":"106","abstract":"This paper reviews the published literature on the definition and measurement of the administrative and compliance costs of taxation, with special reference to VAT (including evasion and fraud) in the European Union. [PUBLICATION ABSTRACT]","shortTitle":"The Costs of VAT","language":"English","author":[{"family":"Barbone","given":"Luca"},{"family":"Bird","given":"Richard M."},{"family":"Vázquez-Caro","given":"Jaime"}],"issued":{"year":2012},"accessed":{"year":2012,"month":8,"day":10},"page-first":"2"}}],"schema":"https://github.com/citation-style-language/schema/raw/master/csl-citation.json"} </w:instrText>
      </w:r>
      <w:r w:rsidRPr="00CF7B03">
        <w:rPr>
          <w:rFonts w:asciiTheme="minorHAnsi" w:hAnsiTheme="minorHAnsi" w:cstheme="minorHAnsi"/>
          <w:bCs/>
        </w:rPr>
        <w:fldChar w:fldCharType="separate"/>
      </w:r>
      <w:r w:rsidRPr="00CF7B03">
        <w:rPr>
          <w:rFonts w:asciiTheme="minorHAnsi" w:hAnsiTheme="minorHAnsi" w:cstheme="minorHAnsi"/>
        </w:rPr>
        <w:t>Barbone, Bird, a Vázquez-Caro (2012)</w:t>
      </w:r>
      <w:r w:rsidRPr="00CF7B03">
        <w:rPr>
          <w:rFonts w:asciiTheme="minorHAnsi" w:hAnsiTheme="minorHAnsi" w:cstheme="minorHAnsi"/>
          <w:bCs/>
        </w:rPr>
        <w:fldChar w:fldCharType="end"/>
      </w:r>
      <w:r w:rsidRPr="00CF7B03">
        <w:rPr>
          <w:rFonts w:asciiTheme="minorHAnsi" w:hAnsiTheme="minorHAnsi" w:cstheme="minorHAnsi"/>
          <w:bCs/>
        </w:rPr>
        <w:t xml:space="preserve"> se zabývají naopak jen úniky na </w:t>
      </w:r>
      <w:proofErr w:type="gramStart"/>
      <w:r w:rsidRPr="00CF7B03">
        <w:rPr>
          <w:rFonts w:asciiTheme="minorHAnsi" w:hAnsiTheme="minorHAnsi" w:cstheme="minorHAnsi"/>
          <w:bCs/>
        </w:rPr>
        <w:t>DPH</w:t>
      </w:r>
      <w:proofErr w:type="gramEnd"/>
      <w:r w:rsidRPr="00CF7B03">
        <w:rPr>
          <w:rFonts w:asciiTheme="minorHAnsi" w:hAnsiTheme="minorHAnsi" w:cstheme="minorHAnsi"/>
          <w:bCs/>
        </w:rPr>
        <w:t xml:space="preserve"> a to zejména v</w:t>
      </w:r>
      <w:r w:rsidR="00537F20" w:rsidRPr="00CF7B03">
        <w:rPr>
          <w:rFonts w:asciiTheme="minorHAnsi" w:hAnsiTheme="minorHAnsi" w:cstheme="minorHAnsi"/>
          <w:bCs/>
        </w:rPr>
        <w:t> </w:t>
      </w:r>
      <w:r w:rsidRPr="00CF7B03">
        <w:rPr>
          <w:rFonts w:asciiTheme="minorHAnsi" w:hAnsiTheme="minorHAnsi" w:cstheme="minorHAnsi"/>
          <w:bCs/>
        </w:rPr>
        <w:t xml:space="preserve">souvislosti s administrativními náklady na výběr DPH na straně plátců. V závěru své práce nacházejí pozitivní </w:t>
      </w:r>
      <w:r w:rsidRPr="00CF7B03">
        <w:rPr>
          <w:rFonts w:asciiTheme="minorHAnsi" w:hAnsiTheme="minorHAnsi" w:cstheme="minorHAnsi"/>
          <w:bCs/>
        </w:rPr>
        <w:lastRenderedPageBreak/>
        <w:t>korelaci mezi mezerou DPH a administrativními náklady spojenými s jejím výběrem v</w:t>
      </w:r>
      <w:r w:rsidR="00537F20" w:rsidRPr="00CF7B03">
        <w:rPr>
          <w:rFonts w:asciiTheme="minorHAnsi" w:hAnsiTheme="minorHAnsi" w:cstheme="minorHAnsi"/>
          <w:bCs/>
        </w:rPr>
        <w:t> </w:t>
      </w:r>
      <w:r w:rsidRPr="00CF7B03">
        <w:rPr>
          <w:rFonts w:asciiTheme="minorHAnsi" w:hAnsiTheme="minorHAnsi" w:cstheme="minorHAnsi"/>
          <w:bCs/>
        </w:rPr>
        <w:t>jednotlivých evropských zemích.</w:t>
      </w:r>
    </w:p>
    <w:p w:rsidR="00AC74CE" w:rsidRPr="00CF7B03" w:rsidRDefault="00AC74CE" w:rsidP="007A5C5C">
      <w:pPr>
        <w:spacing w:after="120"/>
        <w:jc w:val="both"/>
        <w:rPr>
          <w:rFonts w:asciiTheme="minorHAnsi" w:hAnsiTheme="minorHAnsi" w:cstheme="minorHAnsi"/>
          <w:b/>
          <w:bCs/>
        </w:rPr>
      </w:pPr>
      <w:r w:rsidRPr="00CF7B03">
        <w:rPr>
          <w:rFonts w:asciiTheme="minorHAnsi" w:hAnsiTheme="minorHAnsi" w:cstheme="minorHAnsi"/>
          <w:b/>
          <w:bCs/>
        </w:rPr>
        <w:t>Očekávaný přín</w:t>
      </w:r>
      <w:r w:rsidR="00FD2368" w:rsidRPr="00CF7B03">
        <w:rPr>
          <w:rFonts w:asciiTheme="minorHAnsi" w:hAnsiTheme="minorHAnsi" w:cstheme="minorHAnsi"/>
          <w:b/>
          <w:bCs/>
        </w:rPr>
        <w:t xml:space="preserve">os </w:t>
      </w:r>
      <w:r w:rsidR="00A57AE2" w:rsidRPr="00CF7B03">
        <w:rPr>
          <w:rFonts w:asciiTheme="minorHAnsi" w:hAnsiTheme="minorHAnsi" w:cstheme="minorHAnsi"/>
          <w:b/>
          <w:bCs/>
        </w:rPr>
        <w:t xml:space="preserve">práce </w:t>
      </w:r>
      <w:r w:rsidR="00FD2368" w:rsidRPr="00CF7B03">
        <w:rPr>
          <w:rFonts w:asciiTheme="minorHAnsi" w:hAnsiTheme="minorHAnsi" w:cstheme="minorHAnsi"/>
          <w:b/>
          <w:bCs/>
        </w:rPr>
        <w:t>pro rozvoj teorie</w:t>
      </w:r>
    </w:p>
    <w:p w:rsidR="006D109E" w:rsidRPr="00CF7B03" w:rsidRDefault="006A0AD9" w:rsidP="007A5C5C">
      <w:pPr>
        <w:spacing w:after="120"/>
        <w:jc w:val="both"/>
        <w:rPr>
          <w:rFonts w:asciiTheme="minorHAnsi" w:hAnsiTheme="minorHAnsi" w:cstheme="minorHAnsi"/>
          <w:bCs/>
        </w:rPr>
      </w:pPr>
      <w:r w:rsidRPr="00CF7B03">
        <w:rPr>
          <w:rFonts w:asciiTheme="minorHAnsi" w:hAnsiTheme="minorHAnsi" w:cstheme="minorHAnsi"/>
          <w:bCs/>
        </w:rPr>
        <w:t xml:space="preserve">Práce by měla </w:t>
      </w:r>
      <w:r w:rsidR="00E1248F" w:rsidRPr="00CF7B03">
        <w:rPr>
          <w:rFonts w:asciiTheme="minorHAnsi" w:hAnsiTheme="minorHAnsi" w:cstheme="minorHAnsi"/>
          <w:bCs/>
        </w:rPr>
        <w:t>být přínosná v</w:t>
      </w:r>
      <w:r w:rsidRPr="00CF7B03">
        <w:rPr>
          <w:rFonts w:asciiTheme="minorHAnsi" w:hAnsiTheme="minorHAnsi" w:cstheme="minorHAnsi"/>
          <w:bCs/>
        </w:rPr>
        <w:t xml:space="preserve"> násl</w:t>
      </w:r>
      <w:r w:rsidR="006D109E" w:rsidRPr="00CF7B03">
        <w:rPr>
          <w:rFonts w:asciiTheme="minorHAnsi" w:hAnsiTheme="minorHAnsi" w:cstheme="minorHAnsi"/>
          <w:bCs/>
        </w:rPr>
        <w:t>edující</w:t>
      </w:r>
      <w:r w:rsidR="00E1248F" w:rsidRPr="00CF7B03">
        <w:rPr>
          <w:rFonts w:asciiTheme="minorHAnsi" w:hAnsiTheme="minorHAnsi" w:cstheme="minorHAnsi"/>
          <w:bCs/>
        </w:rPr>
        <w:t>ch oblastech</w:t>
      </w:r>
      <w:r w:rsidR="006D109E" w:rsidRPr="00CF7B03">
        <w:rPr>
          <w:rFonts w:asciiTheme="minorHAnsi" w:hAnsiTheme="minorHAnsi" w:cstheme="minorHAnsi"/>
          <w:bCs/>
        </w:rPr>
        <w:t>:</w:t>
      </w:r>
    </w:p>
    <w:p w:rsidR="006D109E" w:rsidRPr="00CF7B03" w:rsidRDefault="00B13377" w:rsidP="006D109E">
      <w:pPr>
        <w:numPr>
          <w:ilvl w:val="0"/>
          <w:numId w:val="17"/>
        </w:numPr>
        <w:spacing w:after="120"/>
        <w:jc w:val="both"/>
        <w:rPr>
          <w:rFonts w:asciiTheme="minorHAnsi" w:hAnsiTheme="minorHAnsi" w:cstheme="minorHAnsi"/>
          <w:bCs/>
        </w:rPr>
      </w:pPr>
      <w:r w:rsidRPr="00CF7B03">
        <w:rPr>
          <w:rFonts w:asciiTheme="minorHAnsi" w:hAnsiTheme="minorHAnsi" w:cstheme="minorHAnsi"/>
          <w:bCs/>
        </w:rPr>
        <w:t>P</w:t>
      </w:r>
      <w:r w:rsidR="006D109E" w:rsidRPr="00CF7B03">
        <w:rPr>
          <w:rFonts w:asciiTheme="minorHAnsi" w:hAnsiTheme="minorHAnsi" w:cstheme="minorHAnsi"/>
          <w:bCs/>
        </w:rPr>
        <w:t xml:space="preserve">osouzení nedostatků </w:t>
      </w:r>
      <w:r w:rsidRPr="00CF7B03">
        <w:rPr>
          <w:rFonts w:asciiTheme="minorHAnsi" w:hAnsiTheme="minorHAnsi" w:cstheme="minorHAnsi"/>
          <w:bCs/>
        </w:rPr>
        <w:t xml:space="preserve">metody zjišťování mezery DPH z národních účtů </w:t>
      </w:r>
      <w:r w:rsidR="006D109E" w:rsidRPr="00CF7B03">
        <w:rPr>
          <w:rFonts w:asciiTheme="minorHAnsi" w:hAnsiTheme="minorHAnsi" w:cstheme="minorHAnsi"/>
          <w:bCs/>
        </w:rPr>
        <w:t>a srovnání výsledků</w:t>
      </w:r>
      <w:r w:rsidR="006A0AD9" w:rsidRPr="00CF7B03">
        <w:rPr>
          <w:rFonts w:asciiTheme="minorHAnsi" w:hAnsiTheme="minorHAnsi" w:cstheme="minorHAnsi"/>
          <w:bCs/>
        </w:rPr>
        <w:t>.</w:t>
      </w:r>
      <w:r w:rsidR="00E80DF9" w:rsidRPr="00CF7B03">
        <w:rPr>
          <w:rFonts w:asciiTheme="minorHAnsi" w:hAnsiTheme="minorHAnsi" w:cstheme="minorHAnsi"/>
          <w:bCs/>
        </w:rPr>
        <w:t xml:space="preserve"> </w:t>
      </w:r>
    </w:p>
    <w:p w:rsidR="006A0AD9" w:rsidRPr="00CF7B03" w:rsidRDefault="006D109E" w:rsidP="006D109E">
      <w:pPr>
        <w:numPr>
          <w:ilvl w:val="0"/>
          <w:numId w:val="17"/>
        </w:numPr>
        <w:spacing w:after="120"/>
        <w:jc w:val="both"/>
        <w:rPr>
          <w:rFonts w:asciiTheme="minorHAnsi" w:hAnsiTheme="minorHAnsi" w:cstheme="minorHAnsi"/>
          <w:bCs/>
        </w:rPr>
      </w:pPr>
      <w:r w:rsidRPr="00CF7B03">
        <w:rPr>
          <w:rFonts w:asciiTheme="minorHAnsi" w:hAnsiTheme="minorHAnsi" w:cstheme="minorHAnsi"/>
          <w:bCs/>
        </w:rPr>
        <w:t>Upravení</w:t>
      </w:r>
      <w:r w:rsidR="00E80DF9" w:rsidRPr="00CF7B03">
        <w:rPr>
          <w:rFonts w:asciiTheme="minorHAnsi" w:hAnsiTheme="minorHAnsi" w:cstheme="minorHAnsi"/>
          <w:bCs/>
        </w:rPr>
        <w:t xml:space="preserve"> metod</w:t>
      </w:r>
      <w:r w:rsidRPr="00CF7B03">
        <w:rPr>
          <w:rFonts w:asciiTheme="minorHAnsi" w:hAnsiTheme="minorHAnsi" w:cstheme="minorHAnsi"/>
          <w:bCs/>
        </w:rPr>
        <w:t>y</w:t>
      </w:r>
      <w:r w:rsidR="00E80DF9" w:rsidRPr="00CF7B03">
        <w:rPr>
          <w:rFonts w:asciiTheme="minorHAnsi" w:hAnsiTheme="minorHAnsi" w:cstheme="minorHAnsi"/>
          <w:bCs/>
        </w:rPr>
        <w:t xml:space="preserve"> pro výpočet </w:t>
      </w:r>
      <w:r w:rsidRPr="00CF7B03">
        <w:rPr>
          <w:rFonts w:asciiTheme="minorHAnsi" w:hAnsiTheme="minorHAnsi" w:cstheme="minorHAnsi"/>
          <w:bCs/>
        </w:rPr>
        <w:t xml:space="preserve">mezery DPH </w:t>
      </w:r>
      <w:r w:rsidR="00E80DF9" w:rsidRPr="00CF7B03">
        <w:rPr>
          <w:rFonts w:asciiTheme="minorHAnsi" w:hAnsiTheme="minorHAnsi" w:cstheme="minorHAnsi"/>
          <w:bCs/>
        </w:rPr>
        <w:t>v ČR se specifiky českého daňového systému.</w:t>
      </w:r>
    </w:p>
    <w:p w:rsidR="006D109E" w:rsidRPr="00CF7B03" w:rsidRDefault="006D109E" w:rsidP="006D109E">
      <w:pPr>
        <w:numPr>
          <w:ilvl w:val="0"/>
          <w:numId w:val="17"/>
        </w:numPr>
        <w:spacing w:after="120"/>
        <w:jc w:val="both"/>
        <w:rPr>
          <w:rFonts w:asciiTheme="minorHAnsi" w:hAnsiTheme="minorHAnsi" w:cstheme="minorHAnsi"/>
          <w:bCs/>
        </w:rPr>
      </w:pPr>
      <w:r w:rsidRPr="00CF7B03">
        <w:rPr>
          <w:rFonts w:asciiTheme="minorHAnsi" w:hAnsiTheme="minorHAnsi" w:cstheme="minorHAnsi"/>
          <w:bCs/>
        </w:rPr>
        <w:t xml:space="preserve">Hledání </w:t>
      </w:r>
      <w:r w:rsidR="00E80DF9" w:rsidRPr="00CF7B03">
        <w:rPr>
          <w:rFonts w:asciiTheme="minorHAnsi" w:hAnsiTheme="minorHAnsi" w:cstheme="minorHAnsi"/>
          <w:bCs/>
        </w:rPr>
        <w:t>závislost</w:t>
      </w:r>
      <w:r w:rsidRPr="00CF7B03">
        <w:rPr>
          <w:rFonts w:asciiTheme="minorHAnsi" w:hAnsiTheme="minorHAnsi" w:cstheme="minorHAnsi"/>
          <w:bCs/>
        </w:rPr>
        <w:t>i</w:t>
      </w:r>
      <w:r w:rsidR="00E80DF9" w:rsidRPr="00CF7B03">
        <w:rPr>
          <w:rFonts w:asciiTheme="minorHAnsi" w:hAnsiTheme="minorHAnsi" w:cstheme="minorHAnsi"/>
          <w:bCs/>
        </w:rPr>
        <w:t xml:space="preserve"> mezery DPH na faktorech již nalezených v průběhu dosavadních výzkumů</w:t>
      </w:r>
    </w:p>
    <w:p w:rsidR="00E80DF9" w:rsidRPr="00CF7B03" w:rsidRDefault="006D109E" w:rsidP="006D109E">
      <w:pPr>
        <w:numPr>
          <w:ilvl w:val="0"/>
          <w:numId w:val="17"/>
        </w:numPr>
        <w:spacing w:after="120"/>
        <w:jc w:val="both"/>
        <w:rPr>
          <w:rFonts w:asciiTheme="minorHAnsi" w:hAnsiTheme="minorHAnsi" w:cstheme="minorHAnsi"/>
          <w:bCs/>
        </w:rPr>
      </w:pPr>
      <w:r w:rsidRPr="00CF7B03">
        <w:rPr>
          <w:rFonts w:asciiTheme="minorHAnsi" w:hAnsiTheme="minorHAnsi" w:cstheme="minorHAnsi"/>
          <w:bCs/>
        </w:rPr>
        <w:t>Identifikace nových proměnných, které by mohly daňovou mezeru ovlivnit</w:t>
      </w:r>
      <w:r w:rsidR="00E1248F" w:rsidRPr="00CF7B03">
        <w:rPr>
          <w:rFonts w:asciiTheme="minorHAnsi" w:hAnsiTheme="minorHAnsi" w:cstheme="minorHAnsi"/>
          <w:bCs/>
        </w:rPr>
        <w:t>,</w:t>
      </w:r>
      <w:r w:rsidR="00E80DF9" w:rsidRPr="00CF7B03">
        <w:rPr>
          <w:rFonts w:asciiTheme="minorHAnsi" w:hAnsiTheme="minorHAnsi" w:cstheme="minorHAnsi"/>
          <w:bCs/>
        </w:rPr>
        <w:t xml:space="preserve"> s přihlédnutím k současným podmínkám i novým typům podvodů v DPH a vývoji legislativy, která na tyto podvody reaguje.</w:t>
      </w:r>
    </w:p>
    <w:p w:rsidR="00FD2368" w:rsidRPr="00CF7B03" w:rsidRDefault="00FD2368" w:rsidP="007A5C5C">
      <w:pPr>
        <w:spacing w:after="120"/>
        <w:jc w:val="both"/>
        <w:rPr>
          <w:rFonts w:asciiTheme="minorHAnsi" w:hAnsiTheme="minorHAnsi" w:cstheme="minorHAnsi"/>
          <w:b/>
          <w:bCs/>
        </w:rPr>
      </w:pPr>
      <w:r w:rsidRPr="00CF7B03">
        <w:rPr>
          <w:rFonts w:asciiTheme="minorHAnsi" w:hAnsiTheme="minorHAnsi" w:cstheme="minorHAnsi"/>
          <w:b/>
          <w:bCs/>
        </w:rPr>
        <w:t>Praktická využitelnost výsl</w:t>
      </w:r>
      <w:r w:rsidR="00A63072" w:rsidRPr="00CF7B03">
        <w:rPr>
          <w:rFonts w:asciiTheme="minorHAnsi" w:hAnsiTheme="minorHAnsi" w:cstheme="minorHAnsi"/>
          <w:b/>
          <w:bCs/>
        </w:rPr>
        <w:t>edků</w:t>
      </w:r>
    </w:p>
    <w:p w:rsidR="00AC74CE" w:rsidRPr="00CF7B03" w:rsidRDefault="00E80DF9" w:rsidP="007A5C5C">
      <w:pPr>
        <w:jc w:val="both"/>
        <w:rPr>
          <w:rFonts w:asciiTheme="minorHAnsi" w:hAnsiTheme="minorHAnsi" w:cstheme="minorHAnsi"/>
        </w:rPr>
      </w:pPr>
      <w:r w:rsidRPr="00CF7B03">
        <w:rPr>
          <w:rFonts w:asciiTheme="minorHAnsi" w:hAnsiTheme="minorHAnsi" w:cstheme="minorHAnsi"/>
        </w:rPr>
        <w:t xml:space="preserve">Prakticky využitelné by měly být zejména odhady daňové mezery </w:t>
      </w:r>
      <w:r w:rsidR="003D47D5" w:rsidRPr="00CF7B03">
        <w:rPr>
          <w:rFonts w:asciiTheme="minorHAnsi" w:hAnsiTheme="minorHAnsi" w:cstheme="minorHAnsi"/>
        </w:rPr>
        <w:t>v ČR</w:t>
      </w:r>
      <w:r w:rsidRPr="00CF7B03">
        <w:rPr>
          <w:rFonts w:asciiTheme="minorHAnsi" w:hAnsiTheme="minorHAnsi" w:cstheme="minorHAnsi"/>
        </w:rPr>
        <w:t xml:space="preserve"> od roku </w:t>
      </w:r>
      <w:r w:rsidR="0077312D" w:rsidRPr="00CF7B03">
        <w:rPr>
          <w:rFonts w:asciiTheme="minorHAnsi" w:hAnsiTheme="minorHAnsi" w:cstheme="minorHAnsi"/>
        </w:rPr>
        <w:t>2004</w:t>
      </w:r>
      <w:r w:rsidR="003D47D5" w:rsidRPr="00CF7B03">
        <w:rPr>
          <w:rFonts w:asciiTheme="minorHAnsi" w:hAnsiTheme="minorHAnsi" w:cstheme="minorHAnsi"/>
        </w:rPr>
        <w:t xml:space="preserve"> do 2011</w:t>
      </w:r>
      <w:r w:rsidR="0077312D" w:rsidRPr="00CF7B03">
        <w:rPr>
          <w:rFonts w:asciiTheme="minorHAnsi" w:hAnsiTheme="minorHAnsi" w:cstheme="minorHAnsi"/>
        </w:rPr>
        <w:t xml:space="preserve"> </w:t>
      </w:r>
      <w:r w:rsidR="003D47D5" w:rsidRPr="00CF7B03">
        <w:rPr>
          <w:rFonts w:asciiTheme="minorHAnsi" w:hAnsiTheme="minorHAnsi" w:cstheme="minorHAnsi"/>
        </w:rPr>
        <w:t xml:space="preserve">a jejich srovnání s výpočty provedenými </w:t>
      </w:r>
      <w:r w:rsidR="00186307" w:rsidRPr="00CF7B03">
        <w:rPr>
          <w:rFonts w:asciiTheme="minorHAnsi" w:hAnsiTheme="minorHAnsi" w:cstheme="minorHAnsi"/>
        </w:rPr>
        <w:t>v jiných studiích</w:t>
      </w:r>
      <w:r w:rsidR="003D47D5" w:rsidRPr="00CF7B03">
        <w:rPr>
          <w:rFonts w:asciiTheme="minorHAnsi" w:hAnsiTheme="minorHAnsi" w:cstheme="minorHAnsi"/>
        </w:rPr>
        <w:t>.</w:t>
      </w:r>
      <w:r w:rsidRPr="00CF7B03">
        <w:rPr>
          <w:rFonts w:asciiTheme="minorHAnsi" w:hAnsiTheme="minorHAnsi" w:cstheme="minorHAnsi"/>
        </w:rPr>
        <w:t xml:space="preserve"> Pokud se podaří nalézt nějaké statisticky významné faktory ovlivňující daňovou mezeru, mohou být výsledky této analýzy užitečné pro tvorbu daňové politiky</w:t>
      </w:r>
      <w:r w:rsidR="00186307" w:rsidRPr="00CF7B03">
        <w:rPr>
          <w:rFonts w:asciiTheme="minorHAnsi" w:hAnsiTheme="minorHAnsi" w:cstheme="minorHAnsi"/>
        </w:rPr>
        <w:t xml:space="preserve"> a úpravu daňové legislativy</w:t>
      </w:r>
      <w:r w:rsidRPr="00CF7B03">
        <w:rPr>
          <w:rFonts w:asciiTheme="minorHAnsi" w:hAnsiTheme="minorHAnsi" w:cstheme="minorHAnsi"/>
        </w:rPr>
        <w:t>.</w:t>
      </w:r>
    </w:p>
    <w:p w:rsidR="00AC74CE" w:rsidRPr="00CF7B03" w:rsidRDefault="00AC74CE" w:rsidP="00B13377">
      <w:pPr>
        <w:pStyle w:val="Nadpis2"/>
        <w:rPr>
          <w:rFonts w:asciiTheme="minorHAnsi" w:hAnsiTheme="minorHAnsi" w:cstheme="minorHAnsi"/>
          <w:b/>
        </w:rPr>
      </w:pPr>
      <w:r w:rsidRPr="00CF7B03">
        <w:rPr>
          <w:rFonts w:asciiTheme="minorHAnsi" w:hAnsiTheme="minorHAnsi" w:cstheme="minorHAnsi"/>
          <w:b/>
        </w:rPr>
        <w:t>Objekt a předmět výzkumu, cíle práce</w:t>
      </w:r>
      <w:r w:rsidR="000949B1" w:rsidRPr="00CF7B03">
        <w:rPr>
          <w:rFonts w:asciiTheme="minorHAnsi" w:hAnsiTheme="minorHAnsi" w:cstheme="minorHAnsi"/>
          <w:b/>
        </w:rPr>
        <w:t>, výzkumné otázky</w:t>
      </w:r>
      <w:r w:rsidR="00635112" w:rsidRPr="00CF7B03">
        <w:rPr>
          <w:rFonts w:asciiTheme="minorHAnsi" w:hAnsiTheme="minorHAnsi" w:cstheme="minorHAnsi"/>
          <w:b/>
        </w:rPr>
        <w:t xml:space="preserve"> a</w:t>
      </w:r>
      <w:r w:rsidR="00843911" w:rsidRPr="00CF7B03">
        <w:rPr>
          <w:rFonts w:asciiTheme="minorHAnsi" w:hAnsiTheme="minorHAnsi" w:cstheme="minorHAnsi"/>
          <w:b/>
        </w:rPr>
        <w:t xml:space="preserve"> hypotézy</w:t>
      </w:r>
    </w:p>
    <w:p w:rsidR="00AC74CE" w:rsidRPr="00CF7B03" w:rsidRDefault="00AC74CE" w:rsidP="00661891">
      <w:pPr>
        <w:spacing w:after="120"/>
        <w:rPr>
          <w:rFonts w:asciiTheme="minorHAnsi" w:hAnsiTheme="minorHAnsi" w:cstheme="minorHAnsi"/>
        </w:rPr>
      </w:pPr>
      <w:r w:rsidRPr="00CF7B03">
        <w:rPr>
          <w:rFonts w:asciiTheme="minorHAnsi" w:hAnsiTheme="minorHAnsi" w:cstheme="minorHAnsi"/>
          <w:b/>
          <w:bCs/>
        </w:rPr>
        <w:t>Objekt výzkumu:</w:t>
      </w:r>
      <w:r w:rsidRPr="00CF7B03">
        <w:rPr>
          <w:rFonts w:asciiTheme="minorHAnsi" w:hAnsiTheme="minorHAnsi" w:cstheme="minorHAnsi"/>
        </w:rPr>
        <w:t xml:space="preserve"> </w:t>
      </w:r>
      <w:r w:rsidRPr="00CF7B03">
        <w:rPr>
          <w:rFonts w:asciiTheme="minorHAnsi" w:hAnsiTheme="minorHAnsi" w:cstheme="minorHAnsi"/>
        </w:rPr>
        <w:tab/>
      </w:r>
      <w:r w:rsidR="00351D88" w:rsidRPr="00CF7B03">
        <w:rPr>
          <w:rFonts w:asciiTheme="minorHAnsi" w:hAnsiTheme="minorHAnsi" w:cstheme="minorHAnsi"/>
        </w:rPr>
        <w:t>Skutečná a teoretická daňová povinnost k DPH</w:t>
      </w:r>
      <w:r w:rsidR="00340104" w:rsidRPr="00CF7B03">
        <w:rPr>
          <w:rFonts w:asciiTheme="minorHAnsi" w:hAnsiTheme="minorHAnsi" w:cstheme="minorHAnsi"/>
        </w:rPr>
        <w:t>, mezera DPH</w:t>
      </w:r>
    </w:p>
    <w:p w:rsidR="00AC74CE" w:rsidRPr="00CF7B03" w:rsidRDefault="00AC74CE" w:rsidP="00661891">
      <w:pPr>
        <w:spacing w:after="120"/>
        <w:ind w:left="2126" w:hanging="2126"/>
        <w:rPr>
          <w:rFonts w:asciiTheme="minorHAnsi" w:hAnsiTheme="minorHAnsi" w:cstheme="minorHAnsi"/>
        </w:rPr>
      </w:pPr>
      <w:r w:rsidRPr="00CF7B03">
        <w:rPr>
          <w:rFonts w:asciiTheme="minorHAnsi" w:hAnsiTheme="minorHAnsi" w:cstheme="minorHAnsi"/>
          <w:b/>
          <w:bCs/>
        </w:rPr>
        <w:t>Předmět výzkumu:</w:t>
      </w:r>
      <w:r w:rsidRPr="00CF7B03">
        <w:rPr>
          <w:rFonts w:asciiTheme="minorHAnsi" w:hAnsiTheme="minorHAnsi" w:cstheme="minorHAnsi"/>
        </w:rPr>
        <w:t xml:space="preserve"> </w:t>
      </w:r>
      <w:r w:rsidRPr="00CF7B03">
        <w:rPr>
          <w:rFonts w:asciiTheme="minorHAnsi" w:hAnsiTheme="minorHAnsi" w:cstheme="minorHAnsi"/>
        </w:rPr>
        <w:tab/>
      </w:r>
      <w:r w:rsidR="00351D88" w:rsidRPr="00CF7B03">
        <w:rPr>
          <w:rFonts w:asciiTheme="minorHAnsi" w:hAnsiTheme="minorHAnsi" w:cstheme="minorHAnsi"/>
        </w:rPr>
        <w:t>Skutečné výnosy z DPH evidované daňov</w:t>
      </w:r>
      <w:r w:rsidR="003D47D5" w:rsidRPr="00CF7B03">
        <w:rPr>
          <w:rFonts w:asciiTheme="minorHAnsi" w:hAnsiTheme="minorHAnsi" w:cstheme="minorHAnsi"/>
        </w:rPr>
        <w:t>ou</w:t>
      </w:r>
      <w:r w:rsidR="00351D88" w:rsidRPr="00CF7B03">
        <w:rPr>
          <w:rFonts w:asciiTheme="minorHAnsi" w:hAnsiTheme="minorHAnsi" w:cstheme="minorHAnsi"/>
        </w:rPr>
        <w:t xml:space="preserve"> správ</w:t>
      </w:r>
      <w:r w:rsidR="003D47D5" w:rsidRPr="00CF7B03">
        <w:rPr>
          <w:rFonts w:asciiTheme="minorHAnsi" w:hAnsiTheme="minorHAnsi" w:cstheme="minorHAnsi"/>
        </w:rPr>
        <w:t>ou ČR</w:t>
      </w:r>
      <w:r w:rsidR="00351D88" w:rsidRPr="00CF7B03">
        <w:rPr>
          <w:rFonts w:asciiTheme="minorHAnsi" w:hAnsiTheme="minorHAnsi" w:cstheme="minorHAnsi"/>
        </w:rPr>
        <w:t xml:space="preserve">, </w:t>
      </w:r>
      <w:r w:rsidR="00B751BC" w:rsidRPr="00CF7B03">
        <w:rPr>
          <w:rFonts w:asciiTheme="minorHAnsi" w:hAnsiTheme="minorHAnsi" w:cstheme="minorHAnsi"/>
        </w:rPr>
        <w:t xml:space="preserve">makroekonomická </w:t>
      </w:r>
      <w:r w:rsidR="00351D88" w:rsidRPr="00CF7B03">
        <w:rPr>
          <w:rFonts w:asciiTheme="minorHAnsi" w:hAnsiTheme="minorHAnsi" w:cstheme="minorHAnsi"/>
        </w:rPr>
        <w:t xml:space="preserve">data </w:t>
      </w:r>
      <w:r w:rsidR="003D47D5" w:rsidRPr="00CF7B03">
        <w:rPr>
          <w:rFonts w:asciiTheme="minorHAnsi" w:hAnsiTheme="minorHAnsi" w:cstheme="minorHAnsi"/>
        </w:rPr>
        <w:t>v tabulkách užití národních účtů publikovaná ČSÚ, velikost mezery DPH v</w:t>
      </w:r>
      <w:r w:rsidR="00B13377" w:rsidRPr="00CF7B03">
        <w:rPr>
          <w:rFonts w:asciiTheme="minorHAnsi" w:hAnsiTheme="minorHAnsi" w:cstheme="minorHAnsi"/>
        </w:rPr>
        <w:t> </w:t>
      </w:r>
      <w:r w:rsidR="003D47D5" w:rsidRPr="00CF7B03">
        <w:rPr>
          <w:rFonts w:asciiTheme="minorHAnsi" w:hAnsiTheme="minorHAnsi" w:cstheme="minorHAnsi"/>
        </w:rPr>
        <w:t>jednotlivých členských státech EU za roky 2000 až 2006 publikovaná v</w:t>
      </w:r>
      <w:r w:rsidR="00B13377" w:rsidRPr="00CF7B03">
        <w:rPr>
          <w:rFonts w:asciiTheme="minorHAnsi" w:hAnsiTheme="minorHAnsi" w:cstheme="minorHAnsi"/>
        </w:rPr>
        <w:t> </w:t>
      </w:r>
      <w:proofErr w:type="spellStart"/>
      <w:r w:rsidR="003D47D5" w:rsidRPr="00CF7B03">
        <w:rPr>
          <w:rFonts w:asciiTheme="minorHAnsi" w:hAnsiTheme="minorHAnsi" w:cstheme="minorHAnsi"/>
        </w:rPr>
        <w:t>Reckon</w:t>
      </w:r>
      <w:proofErr w:type="spellEnd"/>
      <w:r w:rsidR="003D47D5" w:rsidRPr="00CF7B03">
        <w:rPr>
          <w:rFonts w:asciiTheme="minorHAnsi" w:hAnsiTheme="minorHAnsi" w:cstheme="minorHAnsi"/>
        </w:rPr>
        <w:t xml:space="preserve"> (2009) a pokud bude dokončen výzkumný projekt </w:t>
      </w:r>
      <w:r w:rsidR="000644A1" w:rsidRPr="00CF7B03">
        <w:rPr>
          <w:rFonts w:asciiTheme="minorHAnsi" w:hAnsiTheme="minorHAnsi" w:cstheme="minorHAnsi"/>
        </w:rPr>
        <w:t>C</w:t>
      </w:r>
      <w:r w:rsidR="003D47D5" w:rsidRPr="00CF7B03">
        <w:rPr>
          <w:rFonts w:asciiTheme="minorHAnsi" w:hAnsiTheme="minorHAnsi" w:cstheme="minorHAnsi"/>
        </w:rPr>
        <w:t xml:space="preserve">ASE, tak publikovaná </w:t>
      </w:r>
      <w:r w:rsidR="000644A1" w:rsidRPr="00CF7B03">
        <w:rPr>
          <w:rFonts w:asciiTheme="minorHAnsi" w:hAnsiTheme="minorHAnsi" w:cstheme="minorHAnsi"/>
        </w:rPr>
        <w:t>data</w:t>
      </w:r>
      <w:r w:rsidR="003D47D5" w:rsidRPr="00CF7B03">
        <w:rPr>
          <w:rFonts w:asciiTheme="minorHAnsi" w:hAnsiTheme="minorHAnsi" w:cstheme="minorHAnsi"/>
        </w:rPr>
        <w:t xml:space="preserve"> za roky</w:t>
      </w:r>
      <w:r w:rsidR="000644A1" w:rsidRPr="00CF7B03">
        <w:rPr>
          <w:rFonts w:asciiTheme="minorHAnsi" w:hAnsiTheme="minorHAnsi" w:cstheme="minorHAnsi"/>
        </w:rPr>
        <w:t xml:space="preserve"> 2007 až 2010</w:t>
      </w:r>
      <w:r w:rsidRPr="00CF7B03">
        <w:rPr>
          <w:rFonts w:asciiTheme="minorHAnsi" w:hAnsiTheme="minorHAnsi" w:cstheme="minorHAnsi"/>
        </w:rPr>
        <w:t>.</w:t>
      </w:r>
    </w:p>
    <w:p w:rsidR="00AC74CE" w:rsidRPr="00CF7B03" w:rsidRDefault="00351D88" w:rsidP="004F4366">
      <w:pPr>
        <w:spacing w:after="120"/>
        <w:ind w:left="2127" w:hanging="2127"/>
        <w:rPr>
          <w:rFonts w:asciiTheme="minorHAnsi" w:hAnsiTheme="minorHAnsi" w:cstheme="minorHAnsi"/>
        </w:rPr>
      </w:pPr>
      <w:r w:rsidRPr="00CF7B03">
        <w:rPr>
          <w:rFonts w:asciiTheme="minorHAnsi" w:hAnsiTheme="minorHAnsi" w:cstheme="minorHAnsi"/>
          <w:b/>
          <w:bCs/>
        </w:rPr>
        <w:t>Hlavní</w:t>
      </w:r>
      <w:r w:rsidR="00AC74CE" w:rsidRPr="00CF7B03">
        <w:rPr>
          <w:rFonts w:asciiTheme="minorHAnsi" w:hAnsiTheme="minorHAnsi" w:cstheme="minorHAnsi"/>
          <w:b/>
          <w:bCs/>
        </w:rPr>
        <w:t xml:space="preserve"> cíl:</w:t>
      </w:r>
      <w:r w:rsidR="002025E3" w:rsidRPr="00CF7B03">
        <w:rPr>
          <w:rFonts w:asciiTheme="minorHAnsi" w:hAnsiTheme="minorHAnsi" w:cstheme="minorHAnsi"/>
        </w:rPr>
        <w:t xml:space="preserve"> </w:t>
      </w:r>
      <w:r w:rsidR="002025E3" w:rsidRPr="00CF7B03">
        <w:rPr>
          <w:rFonts w:asciiTheme="minorHAnsi" w:hAnsiTheme="minorHAnsi" w:cstheme="minorHAnsi"/>
        </w:rPr>
        <w:tab/>
      </w:r>
      <w:r w:rsidR="003D47D5" w:rsidRPr="00CF7B03">
        <w:rPr>
          <w:rFonts w:asciiTheme="minorHAnsi" w:hAnsiTheme="minorHAnsi" w:cstheme="minorHAnsi"/>
        </w:rPr>
        <w:t>Určit</w:t>
      </w:r>
      <w:r w:rsidRPr="00CF7B03">
        <w:rPr>
          <w:rFonts w:asciiTheme="minorHAnsi" w:hAnsiTheme="minorHAnsi" w:cstheme="minorHAnsi"/>
        </w:rPr>
        <w:t xml:space="preserve"> velikost daňové mezery DPH </w:t>
      </w:r>
      <w:r w:rsidR="003D47D5" w:rsidRPr="00CF7B03">
        <w:rPr>
          <w:rFonts w:asciiTheme="minorHAnsi" w:hAnsiTheme="minorHAnsi" w:cstheme="minorHAnsi"/>
        </w:rPr>
        <w:t xml:space="preserve">v ČR za roky </w:t>
      </w:r>
      <w:r w:rsidR="0077312D" w:rsidRPr="00CF7B03">
        <w:rPr>
          <w:rFonts w:asciiTheme="minorHAnsi" w:hAnsiTheme="minorHAnsi" w:cstheme="minorHAnsi"/>
        </w:rPr>
        <w:t>2004</w:t>
      </w:r>
      <w:r w:rsidR="003D47D5" w:rsidRPr="00CF7B03">
        <w:rPr>
          <w:rFonts w:asciiTheme="minorHAnsi" w:hAnsiTheme="minorHAnsi" w:cstheme="minorHAnsi"/>
        </w:rPr>
        <w:t xml:space="preserve"> až 2011 </w:t>
      </w:r>
      <w:r w:rsidRPr="00CF7B03">
        <w:rPr>
          <w:rFonts w:asciiTheme="minorHAnsi" w:hAnsiTheme="minorHAnsi" w:cstheme="minorHAnsi"/>
        </w:rPr>
        <w:t xml:space="preserve">a </w:t>
      </w:r>
      <w:r w:rsidR="003D47D5" w:rsidRPr="00CF7B03">
        <w:rPr>
          <w:rFonts w:asciiTheme="minorHAnsi" w:hAnsiTheme="minorHAnsi" w:cstheme="minorHAnsi"/>
        </w:rPr>
        <w:t xml:space="preserve">identifikovat </w:t>
      </w:r>
      <w:r w:rsidRPr="00CF7B03">
        <w:rPr>
          <w:rFonts w:asciiTheme="minorHAnsi" w:hAnsiTheme="minorHAnsi" w:cstheme="minorHAnsi"/>
        </w:rPr>
        <w:t xml:space="preserve">faktory ovlivňující </w:t>
      </w:r>
      <w:r w:rsidR="003D47D5" w:rsidRPr="00CF7B03">
        <w:rPr>
          <w:rFonts w:asciiTheme="minorHAnsi" w:hAnsiTheme="minorHAnsi" w:cstheme="minorHAnsi"/>
        </w:rPr>
        <w:t>daňovou mezeru DPH</w:t>
      </w:r>
      <w:r w:rsidRPr="00CF7B03">
        <w:rPr>
          <w:rFonts w:asciiTheme="minorHAnsi" w:hAnsiTheme="minorHAnsi" w:cstheme="minorHAnsi"/>
        </w:rPr>
        <w:t xml:space="preserve"> v </w:t>
      </w:r>
      <w:r w:rsidR="003D47D5" w:rsidRPr="00CF7B03">
        <w:rPr>
          <w:rFonts w:asciiTheme="minorHAnsi" w:hAnsiTheme="minorHAnsi" w:cstheme="minorHAnsi"/>
        </w:rPr>
        <w:t xml:space="preserve">ČR a v </w:t>
      </w:r>
      <w:r w:rsidRPr="00CF7B03">
        <w:rPr>
          <w:rFonts w:asciiTheme="minorHAnsi" w:hAnsiTheme="minorHAnsi" w:cstheme="minorHAnsi"/>
        </w:rPr>
        <w:t xml:space="preserve">jednotlivých zemích </w:t>
      </w:r>
      <w:proofErr w:type="gramStart"/>
      <w:r w:rsidRPr="00CF7B03">
        <w:rPr>
          <w:rFonts w:asciiTheme="minorHAnsi" w:hAnsiTheme="minorHAnsi" w:cstheme="minorHAnsi"/>
        </w:rPr>
        <w:t xml:space="preserve">EU </w:t>
      </w:r>
      <w:r w:rsidR="00520252" w:rsidRPr="00CF7B03">
        <w:rPr>
          <w:rFonts w:asciiTheme="minorHAnsi" w:hAnsiTheme="minorHAnsi" w:cstheme="minorHAnsi"/>
        </w:rPr>
        <w:t> ve</w:t>
      </w:r>
      <w:proofErr w:type="gramEnd"/>
      <w:r w:rsidR="00520252" w:rsidRPr="00CF7B03">
        <w:rPr>
          <w:rFonts w:asciiTheme="minorHAnsi" w:hAnsiTheme="minorHAnsi" w:cstheme="minorHAnsi"/>
        </w:rPr>
        <w:t xml:space="preserve"> sledovaném období</w:t>
      </w:r>
      <w:r w:rsidRPr="00CF7B03">
        <w:rPr>
          <w:rFonts w:asciiTheme="minorHAnsi" w:hAnsiTheme="minorHAnsi" w:cstheme="minorHAnsi"/>
        </w:rPr>
        <w:t>.</w:t>
      </w:r>
    </w:p>
    <w:p w:rsidR="00AC74CE" w:rsidRPr="00CF7B03" w:rsidRDefault="00520252" w:rsidP="00B13377">
      <w:pPr>
        <w:ind w:left="2127" w:hanging="2127"/>
        <w:rPr>
          <w:rFonts w:asciiTheme="minorHAnsi" w:hAnsiTheme="minorHAnsi" w:cstheme="minorHAnsi"/>
        </w:rPr>
      </w:pPr>
      <w:r w:rsidRPr="00CF7B03">
        <w:rPr>
          <w:rFonts w:asciiTheme="minorHAnsi" w:hAnsiTheme="minorHAnsi" w:cstheme="minorHAnsi"/>
          <w:b/>
          <w:bCs/>
        </w:rPr>
        <w:t xml:space="preserve">Dílčí </w:t>
      </w:r>
      <w:r w:rsidR="00AC74CE" w:rsidRPr="00CF7B03">
        <w:rPr>
          <w:rFonts w:asciiTheme="minorHAnsi" w:hAnsiTheme="minorHAnsi" w:cstheme="minorHAnsi"/>
          <w:b/>
          <w:bCs/>
        </w:rPr>
        <w:t>cíle:</w:t>
      </w:r>
      <w:r w:rsidR="002025E3" w:rsidRPr="00CF7B03">
        <w:rPr>
          <w:rFonts w:asciiTheme="minorHAnsi" w:hAnsiTheme="minorHAnsi" w:cstheme="minorHAnsi"/>
        </w:rPr>
        <w:t xml:space="preserve"> </w:t>
      </w:r>
      <w:r w:rsidR="002025E3" w:rsidRPr="00CF7B03">
        <w:rPr>
          <w:rFonts w:asciiTheme="minorHAnsi" w:hAnsiTheme="minorHAnsi" w:cstheme="minorHAnsi"/>
        </w:rPr>
        <w:tab/>
      </w:r>
      <w:r w:rsidRPr="00CF7B03">
        <w:rPr>
          <w:rFonts w:asciiTheme="minorHAnsi" w:hAnsiTheme="minorHAnsi" w:cstheme="minorHAnsi"/>
        </w:rPr>
        <w:t xml:space="preserve">Identifikace </w:t>
      </w:r>
      <w:r w:rsidR="00351D88" w:rsidRPr="00CF7B03">
        <w:rPr>
          <w:rFonts w:asciiTheme="minorHAnsi" w:hAnsiTheme="minorHAnsi" w:cstheme="minorHAnsi"/>
        </w:rPr>
        <w:t>vhodné metody výpočtu mezery DPH na základě analýzy</w:t>
      </w:r>
      <w:r w:rsidR="00B13377" w:rsidRPr="00CF7B03">
        <w:rPr>
          <w:rFonts w:asciiTheme="minorHAnsi" w:hAnsiTheme="minorHAnsi" w:cstheme="minorHAnsi"/>
        </w:rPr>
        <w:t xml:space="preserve"> </w:t>
      </w:r>
      <w:r w:rsidR="00351D88" w:rsidRPr="00CF7B03">
        <w:rPr>
          <w:rFonts w:asciiTheme="minorHAnsi" w:hAnsiTheme="minorHAnsi" w:cstheme="minorHAnsi"/>
        </w:rPr>
        <w:t>dostupné literatury</w:t>
      </w:r>
      <w:r w:rsidR="000644A1" w:rsidRPr="00CF7B03">
        <w:rPr>
          <w:rFonts w:asciiTheme="minorHAnsi" w:hAnsiTheme="minorHAnsi" w:cstheme="minorHAnsi"/>
        </w:rPr>
        <w:t xml:space="preserve"> a její úprava pro ČR</w:t>
      </w:r>
      <w:r w:rsidR="00661891" w:rsidRPr="00CF7B03">
        <w:rPr>
          <w:rFonts w:asciiTheme="minorHAnsi" w:hAnsiTheme="minorHAnsi" w:cstheme="minorHAnsi"/>
        </w:rPr>
        <w:t>.</w:t>
      </w:r>
    </w:p>
    <w:p w:rsidR="00351D88" w:rsidRPr="00CF7B03" w:rsidRDefault="00351D88" w:rsidP="00B13377">
      <w:pPr>
        <w:ind w:left="2127"/>
        <w:rPr>
          <w:rFonts w:asciiTheme="minorHAnsi" w:hAnsiTheme="minorHAnsi" w:cstheme="minorHAnsi"/>
        </w:rPr>
      </w:pPr>
      <w:r w:rsidRPr="00CF7B03">
        <w:rPr>
          <w:rFonts w:asciiTheme="minorHAnsi" w:hAnsiTheme="minorHAnsi" w:cstheme="minorHAnsi"/>
        </w:rPr>
        <w:t>Sběr dat a jejich úprava pro výpočet daňové mezery</w:t>
      </w:r>
      <w:r w:rsidR="00661891" w:rsidRPr="00CF7B03">
        <w:rPr>
          <w:rFonts w:asciiTheme="minorHAnsi" w:hAnsiTheme="minorHAnsi" w:cstheme="minorHAnsi"/>
        </w:rPr>
        <w:t>.</w:t>
      </w:r>
    </w:p>
    <w:p w:rsidR="00AC74CE" w:rsidRPr="00CF7B03" w:rsidRDefault="00351D88" w:rsidP="00B13377">
      <w:pPr>
        <w:ind w:left="2127"/>
        <w:rPr>
          <w:rFonts w:asciiTheme="minorHAnsi" w:hAnsiTheme="minorHAnsi" w:cstheme="minorHAnsi"/>
        </w:rPr>
      </w:pPr>
      <w:r w:rsidRPr="00CF7B03">
        <w:rPr>
          <w:rFonts w:asciiTheme="minorHAnsi" w:hAnsiTheme="minorHAnsi" w:cstheme="minorHAnsi"/>
        </w:rPr>
        <w:t xml:space="preserve">Kalkulace daňové mezery v </w:t>
      </w:r>
      <w:r w:rsidR="000644A1" w:rsidRPr="00CF7B03">
        <w:rPr>
          <w:rFonts w:asciiTheme="minorHAnsi" w:hAnsiTheme="minorHAnsi" w:cstheme="minorHAnsi"/>
        </w:rPr>
        <w:t xml:space="preserve">ČR </w:t>
      </w:r>
      <w:r w:rsidRPr="00CF7B03">
        <w:rPr>
          <w:rFonts w:asciiTheme="minorHAnsi" w:hAnsiTheme="minorHAnsi" w:cstheme="minorHAnsi"/>
        </w:rPr>
        <w:t xml:space="preserve">od roku </w:t>
      </w:r>
      <w:r w:rsidR="0077312D" w:rsidRPr="00CF7B03">
        <w:rPr>
          <w:rFonts w:asciiTheme="minorHAnsi" w:hAnsiTheme="minorHAnsi" w:cstheme="minorHAnsi"/>
        </w:rPr>
        <w:t>2004</w:t>
      </w:r>
      <w:r w:rsidRPr="00CF7B03">
        <w:rPr>
          <w:rFonts w:asciiTheme="minorHAnsi" w:hAnsiTheme="minorHAnsi" w:cstheme="minorHAnsi"/>
        </w:rPr>
        <w:t xml:space="preserve"> do roku 2011</w:t>
      </w:r>
      <w:r w:rsidR="00661891" w:rsidRPr="00CF7B03">
        <w:rPr>
          <w:rFonts w:asciiTheme="minorHAnsi" w:hAnsiTheme="minorHAnsi" w:cstheme="minorHAnsi"/>
        </w:rPr>
        <w:t>.</w:t>
      </w:r>
    </w:p>
    <w:p w:rsidR="00351D88" w:rsidRPr="00CF7B03" w:rsidRDefault="00351D88" w:rsidP="00B13377">
      <w:pPr>
        <w:ind w:left="2127"/>
        <w:rPr>
          <w:rFonts w:asciiTheme="minorHAnsi" w:hAnsiTheme="minorHAnsi" w:cstheme="minorHAnsi"/>
        </w:rPr>
      </w:pPr>
      <w:r w:rsidRPr="00CF7B03">
        <w:rPr>
          <w:rFonts w:asciiTheme="minorHAnsi" w:hAnsiTheme="minorHAnsi" w:cstheme="minorHAnsi"/>
        </w:rPr>
        <w:t>Ekonometrická analýza faktorů ovlivňujících mezeru DPH</w:t>
      </w:r>
      <w:r w:rsidR="00186307" w:rsidRPr="00CF7B03">
        <w:rPr>
          <w:rFonts w:asciiTheme="minorHAnsi" w:hAnsiTheme="minorHAnsi" w:cstheme="minorHAnsi"/>
        </w:rPr>
        <w:t xml:space="preserve"> v ČR a v</w:t>
      </w:r>
      <w:r w:rsidR="00520252" w:rsidRPr="00CF7B03">
        <w:rPr>
          <w:rFonts w:asciiTheme="minorHAnsi" w:hAnsiTheme="minorHAnsi" w:cstheme="minorHAnsi"/>
        </w:rPr>
        <w:t> </w:t>
      </w:r>
      <w:r w:rsidR="00186307" w:rsidRPr="00CF7B03">
        <w:rPr>
          <w:rFonts w:asciiTheme="minorHAnsi" w:hAnsiTheme="minorHAnsi" w:cstheme="minorHAnsi"/>
        </w:rPr>
        <w:t>EU</w:t>
      </w:r>
      <w:r w:rsidR="006D109E" w:rsidRPr="00CF7B03">
        <w:rPr>
          <w:rFonts w:asciiTheme="minorHAnsi" w:hAnsiTheme="minorHAnsi" w:cstheme="minorHAnsi"/>
        </w:rPr>
        <w:t xml:space="preserve">, přičemž údaje o výši daňové mezery v ostatních státech EU budou převzaty ze studie </w:t>
      </w:r>
      <w:proofErr w:type="spellStart"/>
      <w:r w:rsidR="006D109E" w:rsidRPr="00CF7B03">
        <w:rPr>
          <w:rFonts w:asciiTheme="minorHAnsi" w:hAnsiTheme="minorHAnsi" w:cstheme="minorHAnsi"/>
        </w:rPr>
        <w:t>Reckon</w:t>
      </w:r>
      <w:proofErr w:type="spellEnd"/>
      <w:r w:rsidR="006D109E" w:rsidRPr="00CF7B03">
        <w:rPr>
          <w:rFonts w:asciiTheme="minorHAnsi" w:hAnsiTheme="minorHAnsi" w:cstheme="minorHAnsi"/>
        </w:rPr>
        <w:t xml:space="preserve"> (2009) a případně, pokud budou konzisten</w:t>
      </w:r>
      <w:r w:rsidR="00E078A7" w:rsidRPr="00CF7B03">
        <w:rPr>
          <w:rFonts w:asciiTheme="minorHAnsi" w:hAnsiTheme="minorHAnsi" w:cstheme="minorHAnsi"/>
        </w:rPr>
        <w:t>tn</w:t>
      </w:r>
      <w:r w:rsidR="006D109E" w:rsidRPr="00CF7B03">
        <w:rPr>
          <w:rFonts w:asciiTheme="minorHAnsi" w:hAnsiTheme="minorHAnsi" w:cstheme="minorHAnsi"/>
        </w:rPr>
        <w:t>í, za další roky ze studie CASE, která ještě není publikována</w:t>
      </w:r>
      <w:r w:rsidR="00E078A7" w:rsidRPr="00CF7B03">
        <w:rPr>
          <w:rFonts w:asciiTheme="minorHAnsi" w:hAnsiTheme="minorHAnsi" w:cstheme="minorHAnsi"/>
        </w:rPr>
        <w:t>.</w:t>
      </w:r>
    </w:p>
    <w:p w:rsidR="00351D88" w:rsidRPr="00CF7B03" w:rsidRDefault="00351D88" w:rsidP="00B13377">
      <w:pPr>
        <w:ind w:left="2127"/>
        <w:rPr>
          <w:rFonts w:asciiTheme="minorHAnsi" w:hAnsiTheme="minorHAnsi" w:cstheme="minorHAnsi"/>
        </w:rPr>
      </w:pPr>
      <w:r w:rsidRPr="00CF7B03">
        <w:rPr>
          <w:rFonts w:asciiTheme="minorHAnsi" w:hAnsiTheme="minorHAnsi" w:cstheme="minorHAnsi"/>
        </w:rPr>
        <w:t>Interpretace výsledků a doporučení pro teorii i praxi</w:t>
      </w:r>
    </w:p>
    <w:p w:rsidR="002025E3" w:rsidRPr="00CF7B03" w:rsidRDefault="002025E3" w:rsidP="00B751BC">
      <w:pPr>
        <w:ind w:left="2130" w:hanging="2130"/>
        <w:rPr>
          <w:rFonts w:asciiTheme="minorHAnsi" w:hAnsiTheme="minorHAnsi" w:cstheme="minorHAnsi"/>
        </w:rPr>
      </w:pPr>
      <w:r w:rsidRPr="00CF7B03">
        <w:rPr>
          <w:rFonts w:asciiTheme="minorHAnsi" w:hAnsiTheme="minorHAnsi" w:cstheme="minorHAnsi"/>
          <w:b/>
          <w:bCs/>
        </w:rPr>
        <w:t>Výzkumné otázky:</w:t>
      </w:r>
      <w:r w:rsidRPr="00CF7B03">
        <w:rPr>
          <w:rFonts w:asciiTheme="minorHAnsi" w:hAnsiTheme="minorHAnsi" w:cstheme="minorHAnsi"/>
        </w:rPr>
        <w:tab/>
        <w:t xml:space="preserve">1. </w:t>
      </w:r>
      <w:r w:rsidR="00B751BC" w:rsidRPr="00CF7B03">
        <w:rPr>
          <w:rFonts w:asciiTheme="minorHAnsi" w:hAnsiTheme="minorHAnsi" w:cstheme="minorHAnsi"/>
        </w:rPr>
        <w:t xml:space="preserve">Jak velká je mezera DPH v </w:t>
      </w:r>
      <w:r w:rsidR="000644A1" w:rsidRPr="00CF7B03">
        <w:rPr>
          <w:rFonts w:asciiTheme="minorHAnsi" w:hAnsiTheme="minorHAnsi" w:cstheme="minorHAnsi"/>
        </w:rPr>
        <w:t>ČR</w:t>
      </w:r>
      <w:r w:rsidR="00B751BC" w:rsidRPr="00CF7B03">
        <w:rPr>
          <w:rFonts w:asciiTheme="minorHAnsi" w:hAnsiTheme="minorHAnsi" w:cstheme="minorHAnsi"/>
        </w:rPr>
        <w:t xml:space="preserve"> v letech </w:t>
      </w:r>
      <w:r w:rsidR="0077312D" w:rsidRPr="00CF7B03">
        <w:rPr>
          <w:rFonts w:asciiTheme="minorHAnsi" w:hAnsiTheme="minorHAnsi" w:cstheme="minorHAnsi"/>
        </w:rPr>
        <w:t>2004</w:t>
      </w:r>
      <w:r w:rsidR="00B751BC" w:rsidRPr="00CF7B03">
        <w:rPr>
          <w:rFonts w:asciiTheme="minorHAnsi" w:hAnsiTheme="minorHAnsi" w:cstheme="minorHAnsi"/>
        </w:rPr>
        <w:t xml:space="preserve"> až 2011</w:t>
      </w:r>
      <w:r w:rsidRPr="00CF7B03">
        <w:rPr>
          <w:rFonts w:asciiTheme="minorHAnsi" w:hAnsiTheme="minorHAnsi" w:cstheme="minorHAnsi"/>
        </w:rPr>
        <w:t xml:space="preserve">? </w:t>
      </w:r>
    </w:p>
    <w:p w:rsidR="00B751BC" w:rsidRPr="00CF7B03" w:rsidRDefault="00C5472C" w:rsidP="00B13377">
      <w:pPr>
        <w:ind w:left="2127"/>
        <w:rPr>
          <w:rFonts w:asciiTheme="minorHAnsi" w:hAnsiTheme="minorHAnsi" w:cstheme="minorHAnsi"/>
        </w:rPr>
      </w:pPr>
      <w:r w:rsidRPr="00CF7B03">
        <w:rPr>
          <w:rFonts w:asciiTheme="minorHAnsi" w:hAnsiTheme="minorHAnsi" w:cstheme="minorHAnsi"/>
        </w:rPr>
        <w:t xml:space="preserve">2. </w:t>
      </w:r>
      <w:r w:rsidR="00B751BC" w:rsidRPr="00CF7B03">
        <w:rPr>
          <w:rFonts w:asciiTheme="minorHAnsi" w:hAnsiTheme="minorHAnsi" w:cstheme="minorHAnsi"/>
        </w:rPr>
        <w:t>Jak se vyvíjí mezera DPH v průběhu sledovaného období?</w:t>
      </w:r>
    </w:p>
    <w:p w:rsidR="00C5472C" w:rsidRPr="00CF7B03" w:rsidRDefault="00B751BC" w:rsidP="00B13377">
      <w:pPr>
        <w:ind w:left="2126"/>
        <w:rPr>
          <w:rFonts w:asciiTheme="minorHAnsi" w:hAnsiTheme="minorHAnsi" w:cstheme="minorHAnsi"/>
        </w:rPr>
      </w:pPr>
      <w:r w:rsidRPr="00CF7B03">
        <w:rPr>
          <w:rFonts w:asciiTheme="minorHAnsi" w:hAnsiTheme="minorHAnsi" w:cstheme="minorHAnsi"/>
        </w:rPr>
        <w:t>3. Které faktory ovlivňují velikost mezery DPH</w:t>
      </w:r>
      <w:r w:rsidR="00E82A56" w:rsidRPr="00CF7B03">
        <w:rPr>
          <w:rFonts w:asciiTheme="minorHAnsi" w:hAnsiTheme="minorHAnsi" w:cstheme="minorHAnsi"/>
        </w:rPr>
        <w:t>?</w:t>
      </w:r>
    </w:p>
    <w:p w:rsidR="002025E3" w:rsidRPr="00CF7B03" w:rsidRDefault="00B751BC" w:rsidP="00B751BC">
      <w:pPr>
        <w:ind w:left="1417" w:firstLine="709"/>
        <w:rPr>
          <w:rFonts w:asciiTheme="minorHAnsi" w:hAnsiTheme="minorHAnsi" w:cstheme="minorHAnsi"/>
        </w:rPr>
      </w:pPr>
      <w:r w:rsidRPr="00CF7B03">
        <w:rPr>
          <w:rFonts w:asciiTheme="minorHAnsi" w:hAnsiTheme="minorHAnsi" w:cstheme="minorHAnsi"/>
        </w:rPr>
        <w:t>4</w:t>
      </w:r>
      <w:r w:rsidR="002025E3" w:rsidRPr="00CF7B03">
        <w:rPr>
          <w:rFonts w:asciiTheme="minorHAnsi" w:hAnsiTheme="minorHAnsi" w:cstheme="minorHAnsi"/>
        </w:rPr>
        <w:t xml:space="preserve">. </w:t>
      </w:r>
      <w:r w:rsidRPr="00CF7B03">
        <w:rPr>
          <w:rFonts w:asciiTheme="minorHAnsi" w:hAnsiTheme="minorHAnsi" w:cstheme="minorHAnsi"/>
        </w:rPr>
        <w:t>Jsou tyto faktory stejné ve všech zemích EU nebo se liší</w:t>
      </w:r>
      <w:r w:rsidR="002025E3" w:rsidRPr="00CF7B03">
        <w:rPr>
          <w:rFonts w:asciiTheme="minorHAnsi" w:hAnsiTheme="minorHAnsi" w:cstheme="minorHAnsi"/>
        </w:rPr>
        <w:t>?</w:t>
      </w:r>
    </w:p>
    <w:p w:rsidR="002025E3" w:rsidRPr="00CF7B03" w:rsidRDefault="00B751BC" w:rsidP="000424C5">
      <w:pPr>
        <w:spacing w:after="120"/>
        <w:ind w:left="1418" w:firstLine="709"/>
        <w:rPr>
          <w:rFonts w:asciiTheme="minorHAnsi" w:hAnsiTheme="minorHAnsi" w:cstheme="minorHAnsi"/>
        </w:rPr>
      </w:pPr>
      <w:r w:rsidRPr="00CF7B03">
        <w:rPr>
          <w:rFonts w:asciiTheme="minorHAnsi" w:hAnsiTheme="minorHAnsi" w:cstheme="minorHAnsi"/>
        </w:rPr>
        <w:t>5</w:t>
      </w:r>
      <w:r w:rsidR="000949B1" w:rsidRPr="00CF7B03">
        <w:rPr>
          <w:rFonts w:asciiTheme="minorHAnsi" w:hAnsiTheme="minorHAnsi" w:cstheme="minorHAnsi"/>
        </w:rPr>
        <w:t xml:space="preserve">. </w:t>
      </w:r>
      <w:r w:rsidRPr="00CF7B03">
        <w:rPr>
          <w:rFonts w:asciiTheme="minorHAnsi" w:hAnsiTheme="minorHAnsi" w:cstheme="minorHAnsi"/>
        </w:rPr>
        <w:t>Lze nalézt skupiny států EU, kde působí stejné faktory na mezeru DPH</w:t>
      </w:r>
      <w:r w:rsidR="000424C5" w:rsidRPr="00CF7B03">
        <w:rPr>
          <w:rFonts w:asciiTheme="minorHAnsi" w:hAnsiTheme="minorHAnsi" w:cstheme="minorHAnsi"/>
        </w:rPr>
        <w:t>?</w:t>
      </w:r>
    </w:p>
    <w:p w:rsidR="009D03F0" w:rsidRPr="00CF7B03" w:rsidRDefault="00843911" w:rsidP="00E925B9">
      <w:pPr>
        <w:ind w:left="2126" w:hanging="2126"/>
        <w:rPr>
          <w:rFonts w:asciiTheme="minorHAnsi" w:hAnsiTheme="minorHAnsi" w:cstheme="minorHAnsi"/>
        </w:rPr>
      </w:pPr>
      <w:r w:rsidRPr="00CF7B03">
        <w:rPr>
          <w:rFonts w:asciiTheme="minorHAnsi" w:hAnsiTheme="minorHAnsi" w:cstheme="minorHAnsi"/>
          <w:b/>
          <w:bCs/>
        </w:rPr>
        <w:t>Hypotéz</w:t>
      </w:r>
      <w:r w:rsidR="00B751BC" w:rsidRPr="00CF7B03">
        <w:rPr>
          <w:rFonts w:asciiTheme="minorHAnsi" w:hAnsiTheme="minorHAnsi" w:cstheme="minorHAnsi"/>
          <w:b/>
          <w:bCs/>
        </w:rPr>
        <w:t>y:</w:t>
      </w:r>
      <w:r w:rsidR="00B751BC" w:rsidRPr="00CF7B03">
        <w:rPr>
          <w:rFonts w:asciiTheme="minorHAnsi" w:hAnsiTheme="minorHAnsi" w:cstheme="minorHAnsi"/>
          <w:b/>
          <w:bCs/>
        </w:rPr>
        <w:tab/>
      </w:r>
      <w:r w:rsidR="00FD1E93" w:rsidRPr="00CF7B03">
        <w:rPr>
          <w:rFonts w:asciiTheme="minorHAnsi" w:hAnsiTheme="minorHAnsi" w:cstheme="minorHAnsi"/>
          <w:bCs/>
        </w:rPr>
        <w:t>Předpokládaný vliv jednotlivých faktorů působících na velikost daňové</w:t>
      </w:r>
      <w:r w:rsidR="00B13377" w:rsidRPr="00CF7B03">
        <w:rPr>
          <w:rFonts w:asciiTheme="minorHAnsi" w:hAnsiTheme="minorHAnsi" w:cstheme="minorHAnsi"/>
          <w:bCs/>
        </w:rPr>
        <w:t xml:space="preserve"> </w:t>
      </w:r>
      <w:r w:rsidR="00FD1E93" w:rsidRPr="00CF7B03">
        <w:rPr>
          <w:rFonts w:asciiTheme="minorHAnsi" w:hAnsiTheme="minorHAnsi" w:cstheme="minorHAnsi"/>
          <w:bCs/>
        </w:rPr>
        <w:t xml:space="preserve">mezery </w:t>
      </w:r>
      <w:r w:rsidR="006D109E" w:rsidRPr="00CF7B03">
        <w:rPr>
          <w:rFonts w:asciiTheme="minorHAnsi" w:hAnsiTheme="minorHAnsi" w:cstheme="minorHAnsi"/>
          <w:bCs/>
        </w:rPr>
        <w:t xml:space="preserve">je </w:t>
      </w:r>
      <w:r w:rsidR="00FD1E93" w:rsidRPr="00CF7B03">
        <w:rPr>
          <w:rFonts w:asciiTheme="minorHAnsi" w:hAnsiTheme="minorHAnsi" w:cstheme="minorHAnsi"/>
          <w:bCs/>
        </w:rPr>
        <w:t xml:space="preserve">obsažen </w:t>
      </w:r>
      <w:r w:rsidR="00B751BC" w:rsidRPr="00CF7B03">
        <w:rPr>
          <w:rFonts w:asciiTheme="minorHAnsi" w:hAnsiTheme="minorHAnsi" w:cstheme="minorHAnsi"/>
          <w:bCs/>
        </w:rPr>
        <w:t xml:space="preserve">v tabulce č. 1 v části </w:t>
      </w:r>
      <w:r w:rsidR="00FD1E93" w:rsidRPr="00CF7B03">
        <w:rPr>
          <w:rFonts w:asciiTheme="minorHAnsi" w:hAnsiTheme="minorHAnsi" w:cstheme="minorHAnsi"/>
          <w:bCs/>
        </w:rPr>
        <w:t>"P</w:t>
      </w:r>
      <w:r w:rsidR="00B751BC" w:rsidRPr="00CF7B03">
        <w:rPr>
          <w:rFonts w:asciiTheme="minorHAnsi" w:hAnsiTheme="minorHAnsi" w:cstheme="minorHAnsi"/>
          <w:bCs/>
        </w:rPr>
        <w:t>ostup řešení</w:t>
      </w:r>
      <w:r w:rsidR="00FD1E93" w:rsidRPr="00CF7B03">
        <w:rPr>
          <w:rFonts w:asciiTheme="minorHAnsi" w:hAnsiTheme="minorHAnsi" w:cstheme="minorHAnsi"/>
          <w:bCs/>
        </w:rPr>
        <w:t>".</w:t>
      </w:r>
    </w:p>
    <w:p w:rsidR="00AC74CE" w:rsidRPr="00CF7B03" w:rsidRDefault="00B13377" w:rsidP="00B13377">
      <w:pPr>
        <w:pStyle w:val="Nadpis2"/>
        <w:rPr>
          <w:rFonts w:asciiTheme="minorHAnsi" w:hAnsiTheme="minorHAnsi" w:cstheme="minorHAnsi"/>
          <w:b/>
        </w:rPr>
      </w:pPr>
      <w:r w:rsidRPr="00CF7B03">
        <w:rPr>
          <w:rFonts w:asciiTheme="minorHAnsi" w:hAnsiTheme="minorHAnsi" w:cstheme="minorHAnsi"/>
        </w:rPr>
        <w:br w:type="page"/>
      </w:r>
      <w:r w:rsidR="00843911" w:rsidRPr="00CF7B03">
        <w:rPr>
          <w:rFonts w:asciiTheme="minorHAnsi" w:hAnsiTheme="minorHAnsi" w:cstheme="minorHAnsi"/>
          <w:b/>
        </w:rPr>
        <w:lastRenderedPageBreak/>
        <w:t>Postup řešení</w:t>
      </w:r>
      <w:r w:rsidRPr="00CF7B03">
        <w:rPr>
          <w:rFonts w:asciiTheme="minorHAnsi" w:hAnsiTheme="minorHAnsi" w:cstheme="minorHAnsi"/>
          <w:b/>
          <w:lang w:val="cs-CZ"/>
        </w:rPr>
        <w:t xml:space="preserve"> </w:t>
      </w:r>
      <w:r w:rsidRPr="00CF7B03">
        <w:rPr>
          <w:rFonts w:asciiTheme="minorHAnsi" w:hAnsiTheme="minorHAnsi" w:cstheme="minorHAnsi"/>
          <w:i/>
          <w:highlight w:val="lightGray"/>
          <w:lang w:val="cs-CZ"/>
        </w:rPr>
        <w:t>(</w:t>
      </w:r>
      <w:r w:rsidR="0010342D" w:rsidRPr="00CF7B03">
        <w:rPr>
          <w:rFonts w:asciiTheme="minorHAnsi" w:hAnsiTheme="minorHAnsi" w:cstheme="minorHAnsi"/>
          <w:i/>
          <w:highlight w:val="lightGray"/>
          <w:lang w:val="cs-CZ"/>
        </w:rPr>
        <w:t xml:space="preserve">cca </w:t>
      </w:r>
      <w:r w:rsidRPr="00CF7B03">
        <w:rPr>
          <w:rFonts w:asciiTheme="minorHAnsi" w:hAnsiTheme="minorHAnsi" w:cstheme="minorHAnsi"/>
          <w:i/>
          <w:highlight w:val="lightGray"/>
          <w:lang w:val="cs-CZ"/>
        </w:rPr>
        <w:t>1-2 strany)</w:t>
      </w:r>
    </w:p>
    <w:p w:rsidR="00AC74CE" w:rsidRPr="00CF7B03" w:rsidRDefault="00AC74CE" w:rsidP="00C56335">
      <w:pPr>
        <w:spacing w:after="120"/>
        <w:rPr>
          <w:rFonts w:asciiTheme="minorHAnsi" w:hAnsiTheme="minorHAnsi" w:cstheme="minorHAnsi"/>
          <w:b/>
          <w:bCs/>
        </w:rPr>
      </w:pPr>
      <w:r w:rsidRPr="00CF7B03">
        <w:rPr>
          <w:rFonts w:asciiTheme="minorHAnsi" w:hAnsiTheme="minorHAnsi" w:cstheme="minorHAnsi"/>
          <w:b/>
          <w:bCs/>
        </w:rPr>
        <w:t>1</w:t>
      </w:r>
      <w:r w:rsidR="0010342D" w:rsidRPr="00CF7B03">
        <w:rPr>
          <w:rFonts w:asciiTheme="minorHAnsi" w:hAnsiTheme="minorHAnsi" w:cstheme="minorHAnsi"/>
          <w:b/>
          <w:bCs/>
        </w:rPr>
        <w:t>)</w:t>
      </w:r>
      <w:r w:rsidRPr="00CF7B03">
        <w:rPr>
          <w:rFonts w:asciiTheme="minorHAnsi" w:hAnsiTheme="minorHAnsi" w:cstheme="minorHAnsi"/>
          <w:b/>
          <w:bCs/>
        </w:rPr>
        <w:t xml:space="preserve"> </w:t>
      </w:r>
      <w:r w:rsidR="00FD1E93" w:rsidRPr="00CF7B03">
        <w:rPr>
          <w:rFonts w:asciiTheme="minorHAnsi" w:hAnsiTheme="minorHAnsi" w:cstheme="minorHAnsi"/>
          <w:b/>
          <w:bCs/>
        </w:rPr>
        <w:t>Výpočet teoretické daňové povinnosti</w:t>
      </w:r>
    </w:p>
    <w:p w:rsidR="005D2E97" w:rsidRPr="00CF7B03" w:rsidRDefault="006D109E" w:rsidP="0010342D">
      <w:pPr>
        <w:spacing w:after="120"/>
        <w:jc w:val="both"/>
        <w:rPr>
          <w:rFonts w:asciiTheme="minorHAnsi" w:hAnsiTheme="minorHAnsi" w:cstheme="minorHAnsi"/>
          <w:bCs/>
        </w:rPr>
      </w:pPr>
      <w:r w:rsidRPr="00CF7B03">
        <w:rPr>
          <w:rFonts w:asciiTheme="minorHAnsi" w:hAnsiTheme="minorHAnsi" w:cstheme="minorHAnsi"/>
          <w:bCs/>
        </w:rPr>
        <w:t xml:space="preserve">Na základě studia dostupné literatury bude pravděpodobně </w:t>
      </w:r>
      <w:r w:rsidR="0001651F" w:rsidRPr="00CF7B03">
        <w:rPr>
          <w:rFonts w:asciiTheme="minorHAnsi" w:hAnsiTheme="minorHAnsi" w:cstheme="minorHAnsi"/>
          <w:bCs/>
        </w:rPr>
        <w:t xml:space="preserve">použita metoda využívající údaje národních účtů popsaná například ve studii </w:t>
      </w:r>
      <w:proofErr w:type="spellStart"/>
      <w:r w:rsidR="0001651F" w:rsidRPr="00CF7B03">
        <w:rPr>
          <w:rFonts w:asciiTheme="minorHAnsi" w:hAnsiTheme="minorHAnsi" w:cstheme="minorHAnsi"/>
          <w:bCs/>
        </w:rPr>
        <w:t>Reckon</w:t>
      </w:r>
      <w:proofErr w:type="spellEnd"/>
      <w:r w:rsidR="0001651F" w:rsidRPr="00CF7B03">
        <w:rPr>
          <w:rFonts w:asciiTheme="minorHAnsi" w:hAnsiTheme="minorHAnsi" w:cstheme="minorHAnsi"/>
          <w:bCs/>
        </w:rPr>
        <w:t xml:space="preserve"> (2009) nebo v HMRC (2011). </w:t>
      </w:r>
      <w:r w:rsidR="00FD1E93" w:rsidRPr="00CF7B03">
        <w:rPr>
          <w:rFonts w:asciiTheme="minorHAnsi" w:hAnsiTheme="minorHAnsi" w:cstheme="minorHAnsi"/>
          <w:bCs/>
        </w:rPr>
        <w:t>Teoretická daňová povinnost se vypočítává z tabulek zdrojů a užití</w:t>
      </w:r>
      <w:r w:rsidR="00A95CAB" w:rsidRPr="00CF7B03">
        <w:rPr>
          <w:rFonts w:asciiTheme="minorHAnsi" w:hAnsiTheme="minorHAnsi" w:cstheme="minorHAnsi"/>
          <w:bCs/>
        </w:rPr>
        <w:t xml:space="preserve"> </w:t>
      </w:r>
      <w:r w:rsidR="000644A1" w:rsidRPr="00CF7B03">
        <w:rPr>
          <w:rFonts w:asciiTheme="minorHAnsi" w:hAnsiTheme="minorHAnsi" w:cstheme="minorHAnsi"/>
          <w:bCs/>
        </w:rPr>
        <w:t>v národních účtech ČR</w:t>
      </w:r>
      <w:r w:rsidR="00A95CAB" w:rsidRPr="00CF7B03">
        <w:rPr>
          <w:rFonts w:asciiTheme="minorHAnsi" w:hAnsiTheme="minorHAnsi" w:cstheme="minorHAnsi"/>
          <w:bCs/>
        </w:rPr>
        <w:t>.</w:t>
      </w:r>
      <w:r w:rsidR="00FD1E93" w:rsidRPr="00CF7B03">
        <w:rPr>
          <w:rFonts w:asciiTheme="minorHAnsi" w:hAnsiTheme="minorHAnsi" w:cstheme="minorHAnsi"/>
          <w:bCs/>
        </w:rPr>
        <w:t xml:space="preserve"> Tyto tabulky obsahují data o užití zboží a služeb podle typu využití</w:t>
      </w:r>
      <w:r w:rsidR="0001651F" w:rsidRPr="00CF7B03">
        <w:rPr>
          <w:rFonts w:asciiTheme="minorHAnsi" w:hAnsiTheme="minorHAnsi" w:cstheme="minorHAnsi"/>
          <w:bCs/>
        </w:rPr>
        <w:t xml:space="preserve">. </w:t>
      </w:r>
      <w:r w:rsidR="00A95CAB" w:rsidRPr="00CF7B03">
        <w:rPr>
          <w:rFonts w:asciiTheme="minorHAnsi" w:hAnsiTheme="minorHAnsi" w:cstheme="minorHAnsi"/>
          <w:bCs/>
        </w:rPr>
        <w:t>J</w:t>
      </w:r>
      <w:r w:rsidR="0001651F" w:rsidRPr="00CF7B03">
        <w:rPr>
          <w:rFonts w:asciiTheme="minorHAnsi" w:hAnsiTheme="minorHAnsi" w:cstheme="minorHAnsi"/>
          <w:bCs/>
        </w:rPr>
        <w:t xml:space="preserve">e zde zahrnuta spotřeba domácností, vlád a neziskových organizací, </w:t>
      </w:r>
      <w:proofErr w:type="spellStart"/>
      <w:r w:rsidR="0001651F" w:rsidRPr="00CF7B03">
        <w:rPr>
          <w:rFonts w:asciiTheme="minorHAnsi" w:hAnsiTheme="minorHAnsi" w:cstheme="minorHAnsi"/>
          <w:bCs/>
        </w:rPr>
        <w:t>mezispotřeba</w:t>
      </w:r>
      <w:proofErr w:type="spellEnd"/>
      <w:r w:rsidR="0001651F" w:rsidRPr="00CF7B03">
        <w:rPr>
          <w:rFonts w:asciiTheme="minorHAnsi" w:hAnsiTheme="minorHAnsi" w:cstheme="minorHAnsi"/>
          <w:bCs/>
        </w:rPr>
        <w:t xml:space="preserve"> podniků podle odvětví, tvorba hrubého kapitálu a exporty. </w:t>
      </w:r>
    </w:p>
    <w:p w:rsidR="005D2E97" w:rsidRPr="00CF7B03" w:rsidRDefault="0001651F" w:rsidP="0010342D">
      <w:pPr>
        <w:spacing w:after="120"/>
        <w:jc w:val="both"/>
        <w:rPr>
          <w:rFonts w:asciiTheme="minorHAnsi" w:hAnsiTheme="minorHAnsi" w:cstheme="minorHAnsi"/>
          <w:bCs/>
        </w:rPr>
      </w:pPr>
      <w:r w:rsidRPr="00CF7B03">
        <w:rPr>
          <w:rFonts w:asciiTheme="minorHAnsi" w:hAnsiTheme="minorHAnsi" w:cstheme="minorHAnsi"/>
          <w:bCs/>
        </w:rPr>
        <w:t>Každý typ spotřeby je rozdělen podle</w:t>
      </w:r>
      <w:r w:rsidR="00FD1E93" w:rsidRPr="00CF7B03">
        <w:rPr>
          <w:rFonts w:asciiTheme="minorHAnsi" w:hAnsiTheme="minorHAnsi" w:cstheme="minorHAnsi"/>
          <w:bCs/>
        </w:rPr>
        <w:t xml:space="preserve"> kategorie produktu a slouží k identifikaci spotřeby, při které vzniká neodečitatelná DPH. Jedná se o spotřebu domácností</w:t>
      </w:r>
      <w:r w:rsidR="00FD1E93" w:rsidRPr="00CF7B03">
        <w:rPr>
          <w:rFonts w:asciiTheme="minorHAnsi" w:hAnsiTheme="minorHAnsi" w:cstheme="minorHAnsi"/>
          <w:bCs/>
          <w:vertAlign w:val="superscript"/>
        </w:rPr>
        <w:footnoteReference w:id="8"/>
      </w:r>
      <w:r w:rsidR="00FD1E93" w:rsidRPr="00CF7B03">
        <w:rPr>
          <w:rFonts w:asciiTheme="minorHAnsi" w:hAnsiTheme="minorHAnsi" w:cstheme="minorHAnsi"/>
          <w:bCs/>
        </w:rPr>
        <w:t xml:space="preserve">, spotřebu neziskových organizací poskytujících výrobky a služby domácnostem, </w:t>
      </w:r>
      <w:proofErr w:type="spellStart"/>
      <w:r w:rsidR="00FD1E93" w:rsidRPr="00CF7B03">
        <w:rPr>
          <w:rFonts w:asciiTheme="minorHAnsi" w:hAnsiTheme="minorHAnsi" w:cstheme="minorHAnsi"/>
          <w:bCs/>
        </w:rPr>
        <w:t>mezispotřeba</w:t>
      </w:r>
      <w:proofErr w:type="spellEnd"/>
      <w:r w:rsidR="00FD1E93" w:rsidRPr="00CF7B03">
        <w:rPr>
          <w:rFonts w:asciiTheme="minorHAnsi" w:hAnsiTheme="minorHAnsi" w:cstheme="minorHAnsi"/>
          <w:bCs/>
        </w:rPr>
        <w:t xml:space="preserve"> výrobků a služeb podniků, které poskytují plnění osvobozená od DPH bez nároku na odpočet</w:t>
      </w:r>
      <w:r w:rsidR="00FD1E93" w:rsidRPr="00CF7B03">
        <w:rPr>
          <w:rFonts w:asciiTheme="minorHAnsi" w:hAnsiTheme="minorHAnsi" w:cstheme="minorHAnsi"/>
          <w:bCs/>
          <w:vertAlign w:val="superscript"/>
        </w:rPr>
        <w:footnoteReference w:id="9"/>
      </w:r>
      <w:r w:rsidR="00FD1E93" w:rsidRPr="00CF7B03">
        <w:rPr>
          <w:rFonts w:asciiTheme="minorHAnsi" w:hAnsiTheme="minorHAnsi" w:cstheme="minorHAnsi"/>
          <w:bCs/>
        </w:rPr>
        <w:t>, hrubá tvorba kapitálu a změny v zásobách a cennostech, které mohou být přiřazen</w:t>
      </w:r>
      <w:r w:rsidRPr="00CF7B03">
        <w:rPr>
          <w:rFonts w:asciiTheme="minorHAnsi" w:hAnsiTheme="minorHAnsi" w:cstheme="minorHAnsi"/>
          <w:bCs/>
        </w:rPr>
        <w:t>y</w:t>
      </w:r>
      <w:r w:rsidR="00FD1E93" w:rsidRPr="00CF7B03">
        <w:rPr>
          <w:rFonts w:asciiTheme="minorHAnsi" w:hAnsiTheme="minorHAnsi" w:cstheme="minorHAnsi"/>
          <w:bCs/>
        </w:rPr>
        <w:t xml:space="preserve"> k osvobozenému poskytování zboží či služeb</w:t>
      </w:r>
      <w:r w:rsidR="00FD1E93" w:rsidRPr="00CF7B03">
        <w:rPr>
          <w:rFonts w:asciiTheme="minorHAnsi" w:hAnsiTheme="minorHAnsi" w:cstheme="minorHAnsi"/>
          <w:bCs/>
          <w:vertAlign w:val="superscript"/>
        </w:rPr>
        <w:footnoteReference w:id="10"/>
      </w:r>
      <w:r w:rsidR="00FD1E93" w:rsidRPr="00CF7B03">
        <w:rPr>
          <w:rFonts w:asciiTheme="minorHAnsi" w:hAnsiTheme="minorHAnsi" w:cstheme="minorHAnsi"/>
          <w:bCs/>
        </w:rPr>
        <w:t xml:space="preserve">. Konečná spotřeba je kvantifikována a pro každý produkt je s použitím příslušné sazby zjištěna výše DPH odpovídající dané spotřebě. Pokud je některý typ produkce zdaněn více sazbami, je použita vážená sazba podle relativního poměru spotřeby jednotlivých druhů zboží a služeb podléhajících různým sazbám v rámci dané kategorie produkce. </w:t>
      </w:r>
    </w:p>
    <w:p w:rsidR="00FD1E93" w:rsidRPr="00CF7B03" w:rsidRDefault="00FD1E93" w:rsidP="0010342D">
      <w:pPr>
        <w:spacing w:after="120"/>
        <w:jc w:val="both"/>
        <w:rPr>
          <w:rFonts w:asciiTheme="minorHAnsi" w:hAnsiTheme="minorHAnsi" w:cstheme="minorHAnsi"/>
          <w:bCs/>
        </w:rPr>
      </w:pPr>
      <w:r w:rsidRPr="00CF7B03">
        <w:rPr>
          <w:rFonts w:asciiTheme="minorHAnsi" w:hAnsiTheme="minorHAnsi" w:cstheme="minorHAnsi"/>
          <w:bCs/>
        </w:rPr>
        <w:t xml:space="preserve">U </w:t>
      </w:r>
      <w:proofErr w:type="spellStart"/>
      <w:r w:rsidRPr="00CF7B03">
        <w:rPr>
          <w:rFonts w:asciiTheme="minorHAnsi" w:hAnsiTheme="minorHAnsi" w:cstheme="minorHAnsi"/>
          <w:bCs/>
        </w:rPr>
        <w:t>mezispotřeby</w:t>
      </w:r>
      <w:proofErr w:type="spellEnd"/>
      <w:r w:rsidRPr="00CF7B03">
        <w:rPr>
          <w:rFonts w:asciiTheme="minorHAnsi" w:hAnsiTheme="minorHAnsi" w:cstheme="minorHAnsi"/>
          <w:bCs/>
        </w:rPr>
        <w:t xml:space="preserve"> a tvorby kapitálu v odvětvích, která uskutečňují osvobozená plnění bez nároku na odpočet, je třeba odhadnout jejich podíl nároku na odpočet</w:t>
      </w:r>
      <w:r w:rsidRPr="00CF7B03">
        <w:rPr>
          <w:rFonts w:asciiTheme="minorHAnsi" w:hAnsiTheme="minorHAnsi" w:cstheme="minorHAnsi"/>
          <w:bCs/>
          <w:vertAlign w:val="superscript"/>
        </w:rPr>
        <w:footnoteReference w:id="11"/>
      </w:r>
      <w:r w:rsidRPr="00CF7B03">
        <w:rPr>
          <w:rFonts w:asciiTheme="minorHAnsi" w:hAnsiTheme="minorHAnsi" w:cstheme="minorHAnsi"/>
          <w:bCs/>
        </w:rPr>
        <w:t xml:space="preserve"> a tím krátit vypočtenou daň spadající do zjišťované teoretické daňové povinnosti. Odhad tohoto podílu je problematický, protože se v jednotlivých sektorech mění a je dobré testovat jeho vliv (dosazením alternativních odhadů) na výpočet celkové teoretické daňové povinnosti v ekonomice. Dále je nutné provést další úpravy, které zohlední nemožnost uplatnění DPH na vstupu u reprezentace a občerstvení a u osobních aut (</w:t>
      </w:r>
      <w:r w:rsidR="000644A1" w:rsidRPr="00CF7B03">
        <w:rPr>
          <w:rFonts w:asciiTheme="minorHAnsi" w:hAnsiTheme="minorHAnsi" w:cstheme="minorHAnsi"/>
          <w:bCs/>
        </w:rPr>
        <w:t>před rokem 2009)</w:t>
      </w:r>
      <w:r w:rsidRPr="00CF7B03">
        <w:rPr>
          <w:rFonts w:asciiTheme="minorHAnsi" w:hAnsiTheme="minorHAnsi" w:cstheme="minorHAnsi"/>
          <w:bCs/>
        </w:rPr>
        <w:t xml:space="preserve"> nebo také výjimku pro malé podnikatele, kteří se do určitého obratu nemusí registrovat k DPH a spadají tak vlastně z hlediska DPH do skupiny konečných spotřebitelů. </w:t>
      </w:r>
    </w:p>
    <w:p w:rsidR="005D2E97" w:rsidRPr="00CF7B03" w:rsidRDefault="00FD1E93" w:rsidP="0010342D">
      <w:pPr>
        <w:spacing w:after="120"/>
        <w:jc w:val="both"/>
        <w:rPr>
          <w:rFonts w:asciiTheme="minorHAnsi" w:hAnsiTheme="minorHAnsi" w:cstheme="minorHAnsi"/>
          <w:bCs/>
        </w:rPr>
      </w:pPr>
      <w:r w:rsidRPr="00CF7B03">
        <w:rPr>
          <w:rFonts w:asciiTheme="minorHAnsi" w:hAnsiTheme="minorHAnsi" w:cstheme="minorHAnsi"/>
          <w:bCs/>
        </w:rPr>
        <w:t xml:space="preserve">Pro výpočet </w:t>
      </w:r>
      <w:r w:rsidR="005D2E97" w:rsidRPr="00CF7B03">
        <w:rPr>
          <w:rFonts w:asciiTheme="minorHAnsi" w:hAnsiTheme="minorHAnsi" w:cstheme="minorHAnsi"/>
          <w:bCs/>
        </w:rPr>
        <w:t>teoretické daňové povinnosti</w:t>
      </w:r>
      <w:r w:rsidRPr="00CF7B03">
        <w:rPr>
          <w:rFonts w:asciiTheme="minorHAnsi" w:hAnsiTheme="minorHAnsi" w:cstheme="minorHAnsi"/>
          <w:bCs/>
        </w:rPr>
        <w:t xml:space="preserve"> tímto způsobem </w:t>
      </w:r>
      <w:r w:rsidR="005D2E97" w:rsidRPr="00CF7B03">
        <w:rPr>
          <w:rFonts w:asciiTheme="minorHAnsi" w:hAnsiTheme="minorHAnsi" w:cstheme="minorHAnsi"/>
          <w:bCs/>
        </w:rPr>
        <w:t xml:space="preserve">bude využito dat </w:t>
      </w:r>
      <w:r w:rsidR="000644A1" w:rsidRPr="00CF7B03">
        <w:rPr>
          <w:rFonts w:asciiTheme="minorHAnsi" w:hAnsiTheme="minorHAnsi" w:cstheme="minorHAnsi"/>
          <w:bCs/>
        </w:rPr>
        <w:t>ČSÚ, přičemž budou zohledněn</w:t>
      </w:r>
      <w:r w:rsidR="00DC18C0" w:rsidRPr="00CF7B03">
        <w:rPr>
          <w:rFonts w:asciiTheme="minorHAnsi" w:hAnsiTheme="minorHAnsi" w:cstheme="minorHAnsi"/>
          <w:bCs/>
        </w:rPr>
        <w:t>a</w:t>
      </w:r>
      <w:r w:rsidR="000644A1" w:rsidRPr="00CF7B03">
        <w:rPr>
          <w:rFonts w:asciiTheme="minorHAnsi" w:hAnsiTheme="minorHAnsi" w:cstheme="minorHAnsi"/>
          <w:bCs/>
        </w:rPr>
        <w:t xml:space="preserve"> všechna pravidla uplatňování DPH podle zákona č. 235/2004 Sb. o dani z přidané hodnoty. </w:t>
      </w:r>
    </w:p>
    <w:p w:rsidR="00AC74CE" w:rsidRPr="00CF7B03" w:rsidRDefault="00AC74CE" w:rsidP="00C56335">
      <w:pPr>
        <w:spacing w:after="120"/>
        <w:rPr>
          <w:rFonts w:asciiTheme="minorHAnsi" w:hAnsiTheme="minorHAnsi" w:cstheme="minorHAnsi"/>
          <w:b/>
          <w:bCs/>
        </w:rPr>
      </w:pPr>
      <w:r w:rsidRPr="00CF7B03">
        <w:rPr>
          <w:rFonts w:asciiTheme="minorHAnsi" w:hAnsiTheme="minorHAnsi" w:cstheme="minorHAnsi"/>
          <w:b/>
          <w:bCs/>
        </w:rPr>
        <w:t>2</w:t>
      </w:r>
      <w:r w:rsidR="0010342D" w:rsidRPr="00CF7B03">
        <w:rPr>
          <w:rFonts w:asciiTheme="minorHAnsi" w:hAnsiTheme="minorHAnsi" w:cstheme="minorHAnsi"/>
          <w:b/>
          <w:bCs/>
        </w:rPr>
        <w:t>)</w:t>
      </w:r>
      <w:r w:rsidRPr="00CF7B03">
        <w:rPr>
          <w:rFonts w:asciiTheme="minorHAnsi" w:hAnsiTheme="minorHAnsi" w:cstheme="minorHAnsi"/>
          <w:b/>
          <w:bCs/>
        </w:rPr>
        <w:t xml:space="preserve"> </w:t>
      </w:r>
      <w:r w:rsidR="005D2E97" w:rsidRPr="00CF7B03">
        <w:rPr>
          <w:rFonts w:asciiTheme="minorHAnsi" w:hAnsiTheme="minorHAnsi" w:cstheme="minorHAnsi"/>
          <w:b/>
          <w:bCs/>
        </w:rPr>
        <w:t>Výpočet mezery DPH</w:t>
      </w:r>
    </w:p>
    <w:p w:rsidR="006F254A" w:rsidRPr="00CF7B03" w:rsidRDefault="006F254A" w:rsidP="0010342D">
      <w:pPr>
        <w:spacing w:after="120"/>
        <w:jc w:val="both"/>
        <w:rPr>
          <w:rFonts w:asciiTheme="minorHAnsi" w:hAnsiTheme="minorHAnsi" w:cstheme="minorHAnsi"/>
        </w:rPr>
      </w:pPr>
      <w:r w:rsidRPr="00CF7B03">
        <w:rPr>
          <w:rFonts w:asciiTheme="minorHAnsi" w:hAnsiTheme="minorHAnsi" w:cstheme="minorHAnsi"/>
        </w:rPr>
        <w:t xml:space="preserve">Mezera DPH bude vypočtena jako rozdíl mezi </w:t>
      </w:r>
      <w:r w:rsidR="00093681" w:rsidRPr="00CF7B03">
        <w:rPr>
          <w:rFonts w:asciiTheme="minorHAnsi" w:hAnsiTheme="minorHAnsi" w:cstheme="minorHAnsi"/>
        </w:rPr>
        <w:t xml:space="preserve">skutečnou </w:t>
      </w:r>
      <w:r w:rsidRPr="00CF7B03">
        <w:rPr>
          <w:rFonts w:asciiTheme="minorHAnsi" w:hAnsiTheme="minorHAnsi" w:cstheme="minorHAnsi"/>
        </w:rPr>
        <w:t>daňovou povinností, která byla vybrána daňovou správou za daný rok</w:t>
      </w:r>
      <w:r w:rsidR="00093681" w:rsidRPr="00CF7B03">
        <w:rPr>
          <w:rFonts w:asciiTheme="minorHAnsi" w:hAnsiTheme="minorHAnsi" w:cstheme="minorHAnsi"/>
        </w:rPr>
        <w:t xml:space="preserve"> a teoretickou daňovou povinností vypočtenou z národních účtů. Skutečná daňová povinnost bude odpovídat tzv. akruální DPH, která je přepočtena metodou časově upraveného hotovostního plnění a zveřejňována Ministerstvem financí</w:t>
      </w:r>
      <w:r w:rsidRPr="00CF7B03">
        <w:rPr>
          <w:rFonts w:asciiTheme="minorHAnsi" w:hAnsiTheme="minorHAnsi" w:cstheme="minorHAnsi"/>
        </w:rPr>
        <w:t xml:space="preserve">. </w:t>
      </w:r>
      <w:r w:rsidR="00093681" w:rsidRPr="00CF7B03">
        <w:rPr>
          <w:rFonts w:asciiTheme="minorHAnsi" w:hAnsiTheme="minorHAnsi" w:cstheme="minorHAnsi"/>
        </w:rPr>
        <w:t>Mezera DPH b</w:t>
      </w:r>
      <w:r w:rsidRPr="00CF7B03">
        <w:rPr>
          <w:rFonts w:asciiTheme="minorHAnsi" w:hAnsiTheme="minorHAnsi" w:cstheme="minorHAnsi"/>
        </w:rPr>
        <w:t xml:space="preserve">ude potom vyjádřena v absolutní hodnotě i relativně vůči teoretické daňové povinnosti k DPH. </w:t>
      </w:r>
    </w:p>
    <w:p w:rsidR="00AC74CE" w:rsidRPr="00CF7B03" w:rsidRDefault="00AC74CE" w:rsidP="00C56335">
      <w:pPr>
        <w:spacing w:after="120"/>
        <w:rPr>
          <w:rFonts w:asciiTheme="minorHAnsi" w:hAnsiTheme="minorHAnsi" w:cstheme="minorHAnsi"/>
          <w:b/>
          <w:bCs/>
        </w:rPr>
      </w:pPr>
      <w:r w:rsidRPr="00CF7B03">
        <w:rPr>
          <w:rFonts w:asciiTheme="minorHAnsi" w:hAnsiTheme="minorHAnsi" w:cstheme="minorHAnsi"/>
          <w:b/>
          <w:bCs/>
        </w:rPr>
        <w:t>3</w:t>
      </w:r>
      <w:r w:rsidR="0010342D" w:rsidRPr="00CF7B03">
        <w:rPr>
          <w:rFonts w:asciiTheme="minorHAnsi" w:hAnsiTheme="minorHAnsi" w:cstheme="minorHAnsi"/>
          <w:b/>
          <w:bCs/>
        </w:rPr>
        <w:t>)</w:t>
      </w:r>
      <w:r w:rsidRPr="00CF7B03">
        <w:rPr>
          <w:rFonts w:asciiTheme="minorHAnsi" w:hAnsiTheme="minorHAnsi" w:cstheme="minorHAnsi"/>
          <w:b/>
          <w:bCs/>
        </w:rPr>
        <w:t xml:space="preserve"> </w:t>
      </w:r>
      <w:r w:rsidR="00570941" w:rsidRPr="00CF7B03">
        <w:rPr>
          <w:rFonts w:asciiTheme="minorHAnsi" w:hAnsiTheme="minorHAnsi" w:cstheme="minorHAnsi"/>
          <w:b/>
          <w:bCs/>
        </w:rPr>
        <w:t>Ekonometrická analýza</w:t>
      </w:r>
    </w:p>
    <w:p w:rsidR="00093681" w:rsidRPr="00CF7B03" w:rsidRDefault="00570941" w:rsidP="0010342D">
      <w:pPr>
        <w:spacing w:after="120"/>
        <w:jc w:val="both"/>
        <w:rPr>
          <w:rFonts w:asciiTheme="minorHAnsi" w:hAnsiTheme="minorHAnsi" w:cstheme="minorHAnsi"/>
        </w:rPr>
      </w:pPr>
      <w:r w:rsidRPr="00CF7B03">
        <w:rPr>
          <w:rFonts w:asciiTheme="minorHAnsi" w:hAnsiTheme="minorHAnsi" w:cstheme="minorHAnsi"/>
        </w:rPr>
        <w:t>Pro zjištění závislosti mezery DPH na možných faktorech, které na ni mají vliv</w:t>
      </w:r>
      <w:r w:rsidR="00790E7E" w:rsidRPr="00CF7B03">
        <w:rPr>
          <w:rFonts w:asciiTheme="minorHAnsi" w:hAnsiTheme="minorHAnsi" w:cstheme="minorHAnsi"/>
        </w:rPr>
        <w:t>,</w:t>
      </w:r>
      <w:r w:rsidRPr="00CF7B03">
        <w:rPr>
          <w:rFonts w:asciiTheme="minorHAnsi" w:hAnsiTheme="minorHAnsi" w:cstheme="minorHAnsi"/>
        </w:rPr>
        <w:t xml:space="preserve"> bude provedena regresní analýza. </w:t>
      </w:r>
      <w:r w:rsidR="00805926" w:rsidRPr="00CF7B03">
        <w:rPr>
          <w:rFonts w:asciiTheme="minorHAnsi" w:hAnsiTheme="minorHAnsi" w:cstheme="minorHAnsi"/>
        </w:rPr>
        <w:t xml:space="preserve">Postupně budou vytvořeny 3 modely. Jednak </w:t>
      </w:r>
      <w:r w:rsidRPr="00CF7B03">
        <w:rPr>
          <w:rFonts w:asciiTheme="minorHAnsi" w:hAnsiTheme="minorHAnsi" w:cstheme="minorHAnsi"/>
        </w:rPr>
        <w:t xml:space="preserve">průřezový model, který bude zkoumat závislost daňové mezery na vysvětlujících proměnných v jednom vybraném roce ve všech státech EU. V tomto modelu budou nalezeny významné faktory, bude zkoumána kolinearita a </w:t>
      </w:r>
      <w:proofErr w:type="spellStart"/>
      <w:r w:rsidRPr="00CF7B03">
        <w:rPr>
          <w:rFonts w:asciiTheme="minorHAnsi" w:hAnsiTheme="minorHAnsi" w:cstheme="minorHAnsi"/>
        </w:rPr>
        <w:t>heteroskedasticita</w:t>
      </w:r>
      <w:proofErr w:type="spellEnd"/>
      <w:r w:rsidRPr="00CF7B03">
        <w:rPr>
          <w:rFonts w:asciiTheme="minorHAnsi" w:hAnsiTheme="minorHAnsi" w:cstheme="minorHAnsi"/>
        </w:rPr>
        <w:t xml:space="preserve">, která se u průřezových dat může vyskytnout. </w:t>
      </w:r>
    </w:p>
    <w:p w:rsidR="00093681" w:rsidRPr="00CF7B03" w:rsidRDefault="00570941" w:rsidP="0010342D">
      <w:pPr>
        <w:spacing w:after="120"/>
        <w:jc w:val="both"/>
        <w:rPr>
          <w:rFonts w:asciiTheme="minorHAnsi" w:hAnsiTheme="minorHAnsi" w:cstheme="minorHAnsi"/>
        </w:rPr>
      </w:pPr>
      <w:r w:rsidRPr="00CF7B03">
        <w:rPr>
          <w:rFonts w:asciiTheme="minorHAnsi" w:hAnsiTheme="minorHAnsi" w:cstheme="minorHAnsi"/>
        </w:rPr>
        <w:t>Dále bude zkoumán vývoj velikosti daňové mezery v ČR</w:t>
      </w:r>
      <w:r w:rsidR="00093681" w:rsidRPr="00CF7B03">
        <w:rPr>
          <w:rFonts w:asciiTheme="minorHAnsi" w:hAnsiTheme="minorHAnsi" w:cstheme="minorHAnsi"/>
        </w:rPr>
        <w:t xml:space="preserve"> v čase od roku </w:t>
      </w:r>
      <w:r w:rsidR="0077312D" w:rsidRPr="00CF7B03">
        <w:rPr>
          <w:rFonts w:asciiTheme="minorHAnsi" w:hAnsiTheme="minorHAnsi" w:cstheme="minorHAnsi"/>
        </w:rPr>
        <w:t>2004</w:t>
      </w:r>
      <w:r w:rsidR="00093681" w:rsidRPr="00CF7B03">
        <w:rPr>
          <w:rFonts w:asciiTheme="minorHAnsi" w:hAnsiTheme="minorHAnsi" w:cstheme="minorHAnsi"/>
        </w:rPr>
        <w:t xml:space="preserve"> do roku 201</w:t>
      </w:r>
      <w:r w:rsidRPr="00CF7B03">
        <w:rPr>
          <w:rFonts w:asciiTheme="minorHAnsi" w:hAnsiTheme="minorHAnsi" w:cstheme="minorHAnsi"/>
        </w:rPr>
        <w:t xml:space="preserve">1 a vliv vytipovaných faktorů na vývoj mezery DPH v tomto období. Mezi faktory budou zařazeny i pomocné </w:t>
      </w:r>
      <w:r w:rsidRPr="00CF7B03">
        <w:rPr>
          <w:rFonts w:asciiTheme="minorHAnsi" w:hAnsiTheme="minorHAnsi" w:cstheme="minorHAnsi"/>
        </w:rPr>
        <w:lastRenderedPageBreak/>
        <w:t>proměnné vyjadřující určitá legislativní opatření proti daňovým únikům.</w:t>
      </w:r>
      <w:r w:rsidR="00805926" w:rsidRPr="00CF7B03">
        <w:rPr>
          <w:rFonts w:asciiTheme="minorHAnsi" w:hAnsiTheme="minorHAnsi" w:cstheme="minorHAnsi"/>
        </w:rPr>
        <w:t xml:space="preserve"> Bude zkoumána </w:t>
      </w:r>
      <w:proofErr w:type="spellStart"/>
      <w:r w:rsidR="00805926" w:rsidRPr="00CF7B03">
        <w:rPr>
          <w:rFonts w:asciiTheme="minorHAnsi" w:hAnsiTheme="minorHAnsi" w:cstheme="minorHAnsi"/>
        </w:rPr>
        <w:t>mul</w:t>
      </w:r>
      <w:r w:rsidR="0077312D" w:rsidRPr="00CF7B03">
        <w:rPr>
          <w:rFonts w:asciiTheme="minorHAnsi" w:hAnsiTheme="minorHAnsi" w:cstheme="minorHAnsi"/>
        </w:rPr>
        <w:t>t</w:t>
      </w:r>
      <w:r w:rsidR="00805926" w:rsidRPr="00CF7B03">
        <w:rPr>
          <w:rFonts w:asciiTheme="minorHAnsi" w:hAnsiTheme="minorHAnsi" w:cstheme="minorHAnsi"/>
        </w:rPr>
        <w:t>ikolinearita</w:t>
      </w:r>
      <w:proofErr w:type="spellEnd"/>
      <w:r w:rsidR="00805926" w:rsidRPr="00CF7B03">
        <w:rPr>
          <w:rFonts w:asciiTheme="minorHAnsi" w:hAnsiTheme="minorHAnsi" w:cstheme="minorHAnsi"/>
        </w:rPr>
        <w:t xml:space="preserve"> </w:t>
      </w:r>
      <w:r w:rsidR="0077312D" w:rsidRPr="00CF7B03">
        <w:rPr>
          <w:rFonts w:asciiTheme="minorHAnsi" w:hAnsiTheme="minorHAnsi" w:cstheme="minorHAnsi"/>
        </w:rPr>
        <w:t xml:space="preserve">a autokorelace </w:t>
      </w:r>
      <w:r w:rsidR="00805926" w:rsidRPr="00CF7B03">
        <w:rPr>
          <w:rFonts w:asciiTheme="minorHAnsi" w:hAnsiTheme="minorHAnsi" w:cstheme="minorHAnsi"/>
        </w:rPr>
        <w:t>vyskytující se v údajích tvořících časové řady.</w:t>
      </w:r>
      <w:r w:rsidRPr="00CF7B03">
        <w:rPr>
          <w:rFonts w:asciiTheme="minorHAnsi" w:hAnsiTheme="minorHAnsi" w:cstheme="minorHAnsi"/>
        </w:rPr>
        <w:t xml:space="preserve"> </w:t>
      </w:r>
    </w:p>
    <w:p w:rsidR="00805926" w:rsidRPr="00CF7B03" w:rsidRDefault="00805926" w:rsidP="0010342D">
      <w:pPr>
        <w:spacing w:after="120"/>
        <w:jc w:val="both"/>
        <w:rPr>
          <w:rFonts w:asciiTheme="minorHAnsi" w:hAnsiTheme="minorHAnsi" w:cstheme="minorHAnsi"/>
        </w:rPr>
      </w:pPr>
      <w:r w:rsidRPr="00CF7B03">
        <w:rPr>
          <w:rFonts w:asciiTheme="minorHAnsi" w:hAnsiTheme="minorHAnsi" w:cstheme="minorHAnsi"/>
        </w:rPr>
        <w:t>Nakonec bude vytvořen model panelové regrese, kam budou zahrnuta data z</w:t>
      </w:r>
      <w:r w:rsidR="00093681" w:rsidRPr="00CF7B03">
        <w:rPr>
          <w:rFonts w:asciiTheme="minorHAnsi" w:hAnsiTheme="minorHAnsi" w:cstheme="minorHAnsi"/>
        </w:rPr>
        <w:t>a všechny státy EU v</w:t>
      </w:r>
      <w:r w:rsidR="0010342D" w:rsidRPr="00CF7B03">
        <w:rPr>
          <w:rFonts w:asciiTheme="minorHAnsi" w:hAnsiTheme="minorHAnsi" w:cstheme="minorHAnsi"/>
        </w:rPr>
        <w:t> </w:t>
      </w:r>
      <w:r w:rsidR="00093681" w:rsidRPr="00CF7B03">
        <w:rPr>
          <w:rFonts w:asciiTheme="minorHAnsi" w:hAnsiTheme="minorHAnsi" w:cstheme="minorHAnsi"/>
        </w:rPr>
        <w:t>období 2000</w:t>
      </w:r>
      <w:r w:rsidRPr="00CF7B03">
        <w:rPr>
          <w:rFonts w:asciiTheme="minorHAnsi" w:hAnsiTheme="minorHAnsi" w:cstheme="minorHAnsi"/>
        </w:rPr>
        <w:t xml:space="preserve"> až 201</w:t>
      </w:r>
      <w:r w:rsidR="00093681" w:rsidRPr="00CF7B03">
        <w:rPr>
          <w:rFonts w:asciiTheme="minorHAnsi" w:hAnsiTheme="minorHAnsi" w:cstheme="minorHAnsi"/>
        </w:rPr>
        <w:t>0</w:t>
      </w:r>
      <w:r w:rsidR="0077312D" w:rsidRPr="00CF7B03">
        <w:rPr>
          <w:rFonts w:asciiTheme="minorHAnsi" w:hAnsiTheme="minorHAnsi" w:cstheme="minorHAnsi"/>
        </w:rPr>
        <w:t xml:space="preserve"> (pokud budou k dispozici konzistentní odhady daňové mezery)</w:t>
      </w:r>
      <w:r w:rsidRPr="00CF7B03">
        <w:rPr>
          <w:rFonts w:asciiTheme="minorHAnsi" w:hAnsiTheme="minorHAnsi" w:cstheme="minorHAnsi"/>
        </w:rPr>
        <w:t xml:space="preserve">. </w:t>
      </w:r>
      <w:r w:rsidR="006D109E" w:rsidRPr="00CF7B03">
        <w:rPr>
          <w:rFonts w:asciiTheme="minorHAnsi" w:hAnsiTheme="minorHAnsi" w:cstheme="minorHAnsi"/>
        </w:rPr>
        <w:t xml:space="preserve">Na základě </w:t>
      </w:r>
      <w:r w:rsidR="00714FDE" w:rsidRPr="00CF7B03">
        <w:rPr>
          <w:rFonts w:asciiTheme="minorHAnsi" w:hAnsiTheme="minorHAnsi" w:cstheme="minorHAnsi"/>
        </w:rPr>
        <w:t xml:space="preserve">dosavadního studia dat a literatury se předpokládá, </w:t>
      </w:r>
      <w:proofErr w:type="gramStart"/>
      <w:r w:rsidR="00714FDE" w:rsidRPr="00CF7B03">
        <w:rPr>
          <w:rFonts w:asciiTheme="minorHAnsi" w:hAnsiTheme="minorHAnsi" w:cstheme="minorHAnsi"/>
        </w:rPr>
        <w:t xml:space="preserve">že </w:t>
      </w:r>
      <w:r w:rsidR="006D109E" w:rsidRPr="00CF7B03">
        <w:rPr>
          <w:rFonts w:asciiTheme="minorHAnsi" w:hAnsiTheme="minorHAnsi" w:cstheme="minorHAnsi"/>
        </w:rPr>
        <w:t xml:space="preserve"> </w:t>
      </w:r>
      <w:r w:rsidR="00714FDE" w:rsidRPr="00CF7B03">
        <w:rPr>
          <w:rFonts w:asciiTheme="minorHAnsi" w:hAnsiTheme="minorHAnsi" w:cstheme="minorHAnsi"/>
        </w:rPr>
        <w:t>b</w:t>
      </w:r>
      <w:r w:rsidRPr="00CF7B03">
        <w:rPr>
          <w:rFonts w:asciiTheme="minorHAnsi" w:hAnsiTheme="minorHAnsi" w:cstheme="minorHAnsi"/>
        </w:rPr>
        <w:t>ude</w:t>
      </w:r>
      <w:proofErr w:type="gramEnd"/>
      <w:r w:rsidRPr="00CF7B03">
        <w:rPr>
          <w:rFonts w:asciiTheme="minorHAnsi" w:hAnsiTheme="minorHAnsi" w:cstheme="minorHAnsi"/>
        </w:rPr>
        <w:t xml:space="preserve"> použit model s fixními efekty.</w:t>
      </w:r>
    </w:p>
    <w:p w:rsidR="00805926" w:rsidRPr="00CF7B03" w:rsidRDefault="00805926" w:rsidP="0010342D">
      <w:pPr>
        <w:spacing w:after="120"/>
        <w:jc w:val="both"/>
        <w:rPr>
          <w:rFonts w:asciiTheme="minorHAnsi" w:hAnsiTheme="minorHAnsi" w:cstheme="minorHAnsi"/>
        </w:rPr>
      </w:pPr>
      <w:r w:rsidRPr="00CF7B03">
        <w:rPr>
          <w:rFonts w:asciiTheme="minorHAnsi" w:hAnsiTheme="minorHAnsi" w:cstheme="minorHAnsi"/>
        </w:rPr>
        <w:t xml:space="preserve">V následující tabulce je přehled </w:t>
      </w:r>
      <w:r w:rsidR="00714FDE" w:rsidRPr="00CF7B03">
        <w:rPr>
          <w:rFonts w:asciiTheme="minorHAnsi" w:hAnsiTheme="minorHAnsi" w:cstheme="minorHAnsi"/>
        </w:rPr>
        <w:t>proměnných</w:t>
      </w:r>
      <w:r w:rsidR="00790E7E" w:rsidRPr="00CF7B03">
        <w:rPr>
          <w:rFonts w:asciiTheme="minorHAnsi" w:hAnsiTheme="minorHAnsi" w:cstheme="minorHAnsi"/>
        </w:rPr>
        <w:t xml:space="preserve"> </w:t>
      </w:r>
      <w:r w:rsidRPr="00CF7B03">
        <w:rPr>
          <w:rFonts w:asciiTheme="minorHAnsi" w:hAnsiTheme="minorHAnsi" w:cstheme="minorHAnsi"/>
        </w:rPr>
        <w:t>vytipovaných na základě dosavadního výzkumu v této oblasti včetně hypotézy o jejich vlivu na mezeru DPH a zdroje dat. U každého zkoumaného faktoru je uveden odkaz na literaturu, která s ním pracovala, popřípadě poznámka, že jde o nově navržený faktor. Nejprve jsou uvedeny faktory ekonomické, potom daňové a nakonec sociálně-institucionální</w:t>
      </w:r>
      <w:r w:rsidR="00E925B9" w:rsidRPr="00CF7B03">
        <w:rPr>
          <w:rFonts w:asciiTheme="minorHAnsi" w:hAnsiTheme="minorHAnsi" w:cstheme="minorHAnsi"/>
        </w:rPr>
        <w:t xml:space="preserve"> </w:t>
      </w:r>
      <w:r w:rsidR="00E925B9" w:rsidRPr="00CF7B03">
        <w:rPr>
          <w:rFonts w:asciiTheme="minorHAnsi" w:hAnsiTheme="minorHAnsi" w:cstheme="minorHAnsi"/>
          <w:i/>
          <w:highlight w:val="lightGray"/>
        </w:rPr>
        <w:t>(v těchto vzorových tezích jde o zkrácenou verzi)</w:t>
      </w:r>
      <w:r w:rsidR="00DC18C0" w:rsidRPr="00CF7B03">
        <w:rPr>
          <w:rFonts w:asciiTheme="minorHAnsi" w:hAnsiTheme="minorHAnsi" w:cstheme="minorHAnsi"/>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524"/>
        <w:gridCol w:w="1276"/>
        <w:gridCol w:w="1985"/>
        <w:gridCol w:w="2551"/>
      </w:tblGrid>
      <w:tr w:rsidR="00876228" w:rsidRPr="00CF7B03" w:rsidTr="00093681">
        <w:tc>
          <w:tcPr>
            <w:tcW w:w="2162" w:type="dxa"/>
          </w:tcPr>
          <w:p w:rsidR="00876228" w:rsidRPr="00CF7B03" w:rsidRDefault="00876228" w:rsidP="0010342D">
            <w:pPr>
              <w:rPr>
                <w:rFonts w:asciiTheme="minorHAnsi" w:hAnsiTheme="minorHAnsi" w:cstheme="minorHAnsi"/>
                <w:b/>
                <w:sz w:val="20"/>
                <w:szCs w:val="20"/>
              </w:rPr>
            </w:pPr>
            <w:r w:rsidRPr="00CF7B03">
              <w:rPr>
                <w:rFonts w:asciiTheme="minorHAnsi" w:hAnsiTheme="minorHAnsi" w:cstheme="minorHAnsi"/>
                <w:b/>
                <w:sz w:val="20"/>
                <w:szCs w:val="20"/>
              </w:rPr>
              <w:t>Název proměnné</w:t>
            </w:r>
          </w:p>
        </w:tc>
        <w:tc>
          <w:tcPr>
            <w:tcW w:w="1524" w:type="dxa"/>
          </w:tcPr>
          <w:p w:rsidR="00876228" w:rsidRPr="00CF7B03" w:rsidRDefault="00876228" w:rsidP="0010342D">
            <w:pPr>
              <w:rPr>
                <w:rFonts w:asciiTheme="minorHAnsi" w:hAnsiTheme="minorHAnsi" w:cstheme="minorHAnsi"/>
                <w:b/>
                <w:sz w:val="20"/>
                <w:szCs w:val="20"/>
              </w:rPr>
            </w:pPr>
            <w:r w:rsidRPr="00CF7B03">
              <w:rPr>
                <w:rFonts w:asciiTheme="minorHAnsi" w:hAnsiTheme="minorHAnsi" w:cstheme="minorHAnsi"/>
                <w:b/>
                <w:sz w:val="20"/>
                <w:szCs w:val="20"/>
              </w:rPr>
              <w:t>Sledovaný faktor</w:t>
            </w:r>
          </w:p>
        </w:tc>
        <w:tc>
          <w:tcPr>
            <w:tcW w:w="1276" w:type="dxa"/>
          </w:tcPr>
          <w:p w:rsidR="00876228" w:rsidRPr="00CF7B03" w:rsidRDefault="00876228" w:rsidP="0010342D">
            <w:pPr>
              <w:rPr>
                <w:rFonts w:asciiTheme="minorHAnsi" w:hAnsiTheme="minorHAnsi" w:cstheme="minorHAnsi"/>
                <w:b/>
                <w:sz w:val="20"/>
                <w:szCs w:val="20"/>
              </w:rPr>
            </w:pPr>
            <w:r w:rsidRPr="00CF7B03">
              <w:rPr>
                <w:rFonts w:asciiTheme="minorHAnsi" w:hAnsiTheme="minorHAnsi" w:cstheme="minorHAnsi"/>
                <w:b/>
                <w:sz w:val="20"/>
                <w:szCs w:val="20"/>
              </w:rPr>
              <w:t>Hypotéza o jeho vlivu na mezeru DPH</w:t>
            </w:r>
          </w:p>
        </w:tc>
        <w:tc>
          <w:tcPr>
            <w:tcW w:w="1985" w:type="dxa"/>
          </w:tcPr>
          <w:p w:rsidR="00876228" w:rsidRPr="00CF7B03" w:rsidRDefault="00876228" w:rsidP="0010342D">
            <w:pPr>
              <w:rPr>
                <w:rFonts w:asciiTheme="minorHAnsi" w:hAnsiTheme="minorHAnsi" w:cstheme="minorHAnsi"/>
                <w:b/>
                <w:sz w:val="20"/>
                <w:szCs w:val="20"/>
              </w:rPr>
            </w:pPr>
            <w:r w:rsidRPr="00CF7B03">
              <w:rPr>
                <w:rFonts w:asciiTheme="minorHAnsi" w:hAnsiTheme="minorHAnsi" w:cstheme="minorHAnsi"/>
                <w:b/>
                <w:sz w:val="20"/>
                <w:szCs w:val="20"/>
              </w:rPr>
              <w:t>Zdroj dat</w:t>
            </w:r>
          </w:p>
        </w:tc>
        <w:tc>
          <w:tcPr>
            <w:tcW w:w="2551" w:type="dxa"/>
          </w:tcPr>
          <w:p w:rsidR="00876228" w:rsidRPr="00CF7B03" w:rsidRDefault="00876228" w:rsidP="0010342D">
            <w:pPr>
              <w:rPr>
                <w:rFonts w:asciiTheme="minorHAnsi" w:hAnsiTheme="minorHAnsi" w:cstheme="minorHAnsi"/>
                <w:b/>
                <w:sz w:val="20"/>
                <w:szCs w:val="20"/>
              </w:rPr>
            </w:pPr>
            <w:r w:rsidRPr="00CF7B03">
              <w:rPr>
                <w:rFonts w:asciiTheme="minorHAnsi" w:hAnsiTheme="minorHAnsi" w:cstheme="minorHAnsi"/>
                <w:b/>
                <w:sz w:val="20"/>
                <w:szCs w:val="20"/>
              </w:rPr>
              <w:t>Odkaz na literaturu</w:t>
            </w:r>
          </w:p>
        </w:tc>
      </w:tr>
      <w:tr w:rsidR="00951826" w:rsidRPr="00CF7B03" w:rsidTr="00093681">
        <w:tc>
          <w:tcPr>
            <w:tcW w:w="9498" w:type="dxa"/>
            <w:gridSpan w:val="5"/>
          </w:tcPr>
          <w:p w:rsidR="00951826" w:rsidRPr="00CF7B03" w:rsidRDefault="00951826" w:rsidP="0010342D">
            <w:pPr>
              <w:rPr>
                <w:rFonts w:asciiTheme="minorHAnsi" w:hAnsiTheme="minorHAnsi" w:cstheme="minorHAnsi"/>
                <w:b/>
                <w:sz w:val="20"/>
                <w:szCs w:val="20"/>
              </w:rPr>
            </w:pPr>
            <w:r w:rsidRPr="00CF7B03">
              <w:rPr>
                <w:rFonts w:asciiTheme="minorHAnsi" w:hAnsiTheme="minorHAnsi" w:cstheme="minorHAnsi"/>
                <w:b/>
                <w:sz w:val="20"/>
                <w:szCs w:val="20"/>
              </w:rPr>
              <w:t>Ekonomické faktory</w:t>
            </w:r>
          </w:p>
        </w:tc>
      </w:tr>
      <w:tr w:rsidR="00876228" w:rsidRPr="00CF7B03" w:rsidTr="00093681">
        <w:tc>
          <w:tcPr>
            <w:tcW w:w="2162" w:type="dxa"/>
          </w:tcPr>
          <w:p w:rsidR="00876228" w:rsidRPr="00CF7B03" w:rsidRDefault="00876228" w:rsidP="0010342D">
            <w:pPr>
              <w:rPr>
                <w:rFonts w:asciiTheme="minorHAnsi" w:hAnsiTheme="minorHAnsi" w:cstheme="minorHAnsi"/>
                <w:sz w:val="20"/>
                <w:szCs w:val="20"/>
              </w:rPr>
            </w:pPr>
            <w:r w:rsidRPr="00CF7B03">
              <w:rPr>
                <w:rFonts w:asciiTheme="minorHAnsi" w:hAnsiTheme="minorHAnsi" w:cstheme="minorHAnsi"/>
                <w:sz w:val="20"/>
                <w:szCs w:val="20"/>
              </w:rPr>
              <w:t xml:space="preserve">HDP na obyvatele </w:t>
            </w:r>
          </w:p>
        </w:tc>
        <w:tc>
          <w:tcPr>
            <w:tcW w:w="1524" w:type="dxa"/>
          </w:tcPr>
          <w:p w:rsidR="00876228" w:rsidRPr="00CF7B03" w:rsidRDefault="00876228" w:rsidP="0010342D">
            <w:pPr>
              <w:rPr>
                <w:rFonts w:asciiTheme="minorHAnsi" w:hAnsiTheme="minorHAnsi" w:cstheme="minorHAnsi"/>
                <w:sz w:val="20"/>
                <w:szCs w:val="20"/>
              </w:rPr>
            </w:pPr>
            <w:r w:rsidRPr="00CF7B03">
              <w:rPr>
                <w:rFonts w:asciiTheme="minorHAnsi" w:hAnsiTheme="minorHAnsi" w:cstheme="minorHAnsi"/>
                <w:sz w:val="20"/>
                <w:szCs w:val="20"/>
              </w:rPr>
              <w:t>Vyspělost země</w:t>
            </w:r>
          </w:p>
        </w:tc>
        <w:tc>
          <w:tcPr>
            <w:tcW w:w="1276" w:type="dxa"/>
          </w:tcPr>
          <w:p w:rsidR="00876228" w:rsidRPr="00CF7B03" w:rsidRDefault="00876228" w:rsidP="0010342D">
            <w:pPr>
              <w:rPr>
                <w:rFonts w:asciiTheme="minorHAnsi" w:hAnsiTheme="minorHAnsi" w:cstheme="minorHAnsi"/>
                <w:sz w:val="20"/>
                <w:szCs w:val="20"/>
              </w:rPr>
            </w:pPr>
            <w:r w:rsidRPr="00CF7B03">
              <w:rPr>
                <w:rFonts w:asciiTheme="minorHAnsi" w:hAnsiTheme="minorHAnsi" w:cstheme="minorHAnsi"/>
                <w:sz w:val="20"/>
                <w:szCs w:val="20"/>
              </w:rPr>
              <w:t>snižuje</w:t>
            </w:r>
          </w:p>
        </w:tc>
        <w:tc>
          <w:tcPr>
            <w:tcW w:w="1985" w:type="dxa"/>
          </w:tcPr>
          <w:p w:rsidR="00876228" w:rsidRPr="00CF7B03" w:rsidRDefault="00876228" w:rsidP="0010342D">
            <w:pPr>
              <w:rPr>
                <w:rFonts w:asciiTheme="minorHAnsi" w:hAnsiTheme="minorHAnsi" w:cstheme="minorHAnsi"/>
                <w:sz w:val="20"/>
                <w:szCs w:val="20"/>
              </w:rPr>
            </w:pPr>
            <w:proofErr w:type="spellStart"/>
            <w:r w:rsidRPr="00CF7B03">
              <w:rPr>
                <w:rFonts w:asciiTheme="minorHAnsi" w:hAnsiTheme="minorHAnsi" w:cstheme="minorHAnsi"/>
                <w:sz w:val="20"/>
                <w:szCs w:val="20"/>
              </w:rPr>
              <w:t>Eurostat</w:t>
            </w:r>
            <w:proofErr w:type="spellEnd"/>
            <w:r w:rsidRPr="00CF7B03">
              <w:rPr>
                <w:rFonts w:asciiTheme="minorHAnsi" w:hAnsiTheme="minorHAnsi" w:cstheme="minorHAnsi"/>
                <w:sz w:val="20"/>
                <w:szCs w:val="20"/>
              </w:rPr>
              <w:t xml:space="preserve"> (národní účty)</w:t>
            </w:r>
          </w:p>
        </w:tc>
        <w:tc>
          <w:tcPr>
            <w:tcW w:w="2551" w:type="dxa"/>
          </w:tcPr>
          <w:p w:rsidR="00876228" w:rsidRPr="00CF7B03" w:rsidRDefault="00876228" w:rsidP="0010342D">
            <w:pPr>
              <w:rPr>
                <w:rFonts w:asciiTheme="minorHAnsi" w:hAnsiTheme="minorHAnsi" w:cstheme="minorHAnsi"/>
                <w:sz w:val="20"/>
                <w:szCs w:val="20"/>
              </w:rPr>
            </w:pPr>
            <w:proofErr w:type="spellStart"/>
            <w:r w:rsidRPr="00CF7B03">
              <w:rPr>
                <w:rFonts w:asciiTheme="minorHAnsi" w:hAnsiTheme="minorHAnsi" w:cstheme="minorHAnsi"/>
                <w:sz w:val="20"/>
                <w:szCs w:val="20"/>
              </w:rPr>
              <w:t>Reckon</w:t>
            </w:r>
            <w:proofErr w:type="spellEnd"/>
            <w:r w:rsidRPr="00CF7B03">
              <w:rPr>
                <w:rFonts w:asciiTheme="minorHAnsi" w:hAnsiTheme="minorHAnsi" w:cstheme="minorHAnsi"/>
                <w:sz w:val="20"/>
                <w:szCs w:val="20"/>
              </w:rPr>
              <w:t xml:space="preserve"> (2009), </w:t>
            </w:r>
            <w:proofErr w:type="spellStart"/>
            <w:r w:rsidRPr="00CF7B03">
              <w:rPr>
                <w:rFonts w:asciiTheme="minorHAnsi" w:hAnsiTheme="minorHAnsi" w:cstheme="minorHAnsi"/>
                <w:sz w:val="20"/>
                <w:szCs w:val="20"/>
              </w:rPr>
              <w:t>Aizenman</w:t>
            </w:r>
            <w:proofErr w:type="spellEnd"/>
            <w:r w:rsidRPr="00CF7B03">
              <w:rPr>
                <w:rFonts w:asciiTheme="minorHAnsi" w:hAnsiTheme="minorHAnsi" w:cstheme="minorHAnsi"/>
                <w:sz w:val="20"/>
                <w:szCs w:val="20"/>
              </w:rPr>
              <w:t xml:space="preserve"> a </w:t>
            </w:r>
            <w:proofErr w:type="spellStart"/>
            <w:r w:rsidRPr="00CF7B03">
              <w:rPr>
                <w:rFonts w:asciiTheme="minorHAnsi" w:hAnsiTheme="minorHAnsi" w:cstheme="minorHAnsi"/>
                <w:sz w:val="20"/>
                <w:szCs w:val="20"/>
              </w:rPr>
              <w:t>Jinjarak</w:t>
            </w:r>
            <w:proofErr w:type="spellEnd"/>
            <w:r w:rsidRPr="00CF7B03">
              <w:rPr>
                <w:rFonts w:asciiTheme="minorHAnsi" w:hAnsiTheme="minorHAnsi" w:cstheme="minorHAnsi"/>
                <w:sz w:val="20"/>
                <w:szCs w:val="20"/>
              </w:rPr>
              <w:t xml:space="preserve"> (2005)</w:t>
            </w:r>
          </w:p>
        </w:tc>
      </w:tr>
      <w:tr w:rsidR="00876228" w:rsidRPr="00CF7B03" w:rsidTr="00093681">
        <w:tc>
          <w:tcPr>
            <w:tcW w:w="2162" w:type="dxa"/>
          </w:tcPr>
          <w:p w:rsidR="00876228" w:rsidRPr="00CF7B03" w:rsidRDefault="00CB19E8" w:rsidP="0010342D">
            <w:pPr>
              <w:rPr>
                <w:rFonts w:asciiTheme="minorHAnsi" w:hAnsiTheme="minorHAnsi" w:cstheme="minorHAnsi"/>
                <w:sz w:val="20"/>
                <w:szCs w:val="20"/>
              </w:rPr>
            </w:pPr>
            <w:r w:rsidRPr="00CF7B03">
              <w:rPr>
                <w:rFonts w:asciiTheme="minorHAnsi" w:hAnsiTheme="minorHAnsi" w:cstheme="minorHAnsi"/>
                <w:sz w:val="20"/>
                <w:szCs w:val="20"/>
              </w:rPr>
              <w:t>HDP</w:t>
            </w:r>
          </w:p>
        </w:tc>
        <w:tc>
          <w:tcPr>
            <w:tcW w:w="1524" w:type="dxa"/>
          </w:tcPr>
          <w:p w:rsidR="00876228" w:rsidRPr="00CF7B03" w:rsidRDefault="00CB19E8" w:rsidP="0010342D">
            <w:pPr>
              <w:rPr>
                <w:rFonts w:asciiTheme="minorHAnsi" w:hAnsiTheme="minorHAnsi" w:cstheme="minorHAnsi"/>
                <w:sz w:val="20"/>
                <w:szCs w:val="20"/>
              </w:rPr>
            </w:pPr>
            <w:r w:rsidRPr="00CF7B03">
              <w:rPr>
                <w:rFonts w:asciiTheme="minorHAnsi" w:hAnsiTheme="minorHAnsi" w:cstheme="minorHAnsi"/>
                <w:sz w:val="20"/>
                <w:szCs w:val="20"/>
              </w:rPr>
              <w:t>Velikost ekonomiky</w:t>
            </w:r>
          </w:p>
        </w:tc>
        <w:tc>
          <w:tcPr>
            <w:tcW w:w="1276" w:type="dxa"/>
          </w:tcPr>
          <w:p w:rsidR="00876228" w:rsidRPr="00CF7B03" w:rsidRDefault="00CB19E8" w:rsidP="0010342D">
            <w:pPr>
              <w:rPr>
                <w:rFonts w:asciiTheme="minorHAnsi" w:hAnsiTheme="minorHAnsi" w:cstheme="minorHAnsi"/>
                <w:sz w:val="20"/>
                <w:szCs w:val="20"/>
              </w:rPr>
            </w:pPr>
            <w:r w:rsidRPr="00CF7B03">
              <w:rPr>
                <w:rFonts w:asciiTheme="minorHAnsi" w:hAnsiTheme="minorHAnsi" w:cstheme="minorHAnsi"/>
                <w:sz w:val="20"/>
                <w:szCs w:val="20"/>
              </w:rPr>
              <w:t>snižuje</w:t>
            </w:r>
          </w:p>
        </w:tc>
        <w:tc>
          <w:tcPr>
            <w:tcW w:w="1985" w:type="dxa"/>
          </w:tcPr>
          <w:p w:rsidR="00876228" w:rsidRPr="00CF7B03" w:rsidRDefault="00CB19E8" w:rsidP="0010342D">
            <w:pPr>
              <w:rPr>
                <w:rFonts w:asciiTheme="minorHAnsi" w:hAnsiTheme="minorHAnsi" w:cstheme="minorHAnsi"/>
                <w:sz w:val="20"/>
                <w:szCs w:val="20"/>
              </w:rPr>
            </w:pPr>
            <w:proofErr w:type="spellStart"/>
            <w:r w:rsidRPr="00CF7B03">
              <w:rPr>
                <w:rFonts w:asciiTheme="minorHAnsi" w:hAnsiTheme="minorHAnsi" w:cstheme="minorHAnsi"/>
                <w:sz w:val="20"/>
                <w:szCs w:val="20"/>
              </w:rPr>
              <w:t>Eurostat</w:t>
            </w:r>
            <w:proofErr w:type="spellEnd"/>
          </w:p>
        </w:tc>
        <w:tc>
          <w:tcPr>
            <w:tcW w:w="2551" w:type="dxa"/>
          </w:tcPr>
          <w:p w:rsidR="00876228" w:rsidRPr="00CF7B03" w:rsidRDefault="00CB19E8" w:rsidP="0010342D">
            <w:pPr>
              <w:rPr>
                <w:rFonts w:asciiTheme="minorHAnsi" w:hAnsiTheme="minorHAnsi" w:cstheme="minorHAnsi"/>
                <w:sz w:val="20"/>
                <w:szCs w:val="20"/>
              </w:rPr>
            </w:pPr>
            <w:proofErr w:type="spellStart"/>
            <w:r w:rsidRPr="00CF7B03">
              <w:rPr>
                <w:rFonts w:asciiTheme="minorHAnsi" w:hAnsiTheme="minorHAnsi" w:cstheme="minorHAnsi"/>
                <w:sz w:val="20"/>
                <w:szCs w:val="20"/>
              </w:rPr>
              <w:t>Reckon</w:t>
            </w:r>
            <w:proofErr w:type="spellEnd"/>
            <w:r w:rsidRPr="00CF7B03">
              <w:rPr>
                <w:rFonts w:asciiTheme="minorHAnsi" w:hAnsiTheme="minorHAnsi" w:cstheme="minorHAnsi"/>
                <w:sz w:val="20"/>
                <w:szCs w:val="20"/>
              </w:rPr>
              <w:t xml:space="preserve"> (2009)</w:t>
            </w:r>
          </w:p>
        </w:tc>
      </w:tr>
      <w:tr w:rsidR="006B7C10" w:rsidRPr="00CF7B03" w:rsidTr="00093681">
        <w:tc>
          <w:tcPr>
            <w:tcW w:w="2162" w:type="dxa"/>
          </w:tcPr>
          <w:p w:rsidR="006B7C10" w:rsidRPr="00CF7B03" w:rsidRDefault="006B7C10" w:rsidP="0010342D">
            <w:pPr>
              <w:rPr>
                <w:rFonts w:asciiTheme="minorHAnsi" w:hAnsiTheme="minorHAnsi" w:cstheme="minorHAnsi"/>
                <w:sz w:val="20"/>
                <w:szCs w:val="20"/>
              </w:rPr>
            </w:pPr>
            <w:r w:rsidRPr="00CF7B03">
              <w:rPr>
                <w:rFonts w:asciiTheme="minorHAnsi" w:hAnsiTheme="minorHAnsi" w:cstheme="minorHAnsi"/>
                <w:sz w:val="20"/>
                <w:szCs w:val="20"/>
              </w:rPr>
              <w:t xml:space="preserve">Podíl </w:t>
            </w:r>
            <w:r w:rsidR="00951826" w:rsidRPr="00CF7B03">
              <w:rPr>
                <w:rFonts w:asciiTheme="minorHAnsi" w:hAnsiTheme="minorHAnsi" w:cstheme="minorHAnsi"/>
                <w:sz w:val="20"/>
                <w:szCs w:val="20"/>
              </w:rPr>
              <w:t xml:space="preserve">země </w:t>
            </w:r>
            <w:r w:rsidRPr="00CF7B03">
              <w:rPr>
                <w:rFonts w:asciiTheme="minorHAnsi" w:hAnsiTheme="minorHAnsi" w:cstheme="minorHAnsi"/>
                <w:sz w:val="20"/>
                <w:szCs w:val="20"/>
              </w:rPr>
              <w:t xml:space="preserve">na </w:t>
            </w:r>
            <w:r w:rsidR="00951826" w:rsidRPr="00CF7B03">
              <w:rPr>
                <w:rFonts w:asciiTheme="minorHAnsi" w:hAnsiTheme="minorHAnsi" w:cstheme="minorHAnsi"/>
                <w:sz w:val="20"/>
                <w:szCs w:val="20"/>
              </w:rPr>
              <w:t xml:space="preserve">celkovém </w:t>
            </w:r>
            <w:r w:rsidRPr="00CF7B03">
              <w:rPr>
                <w:rFonts w:asciiTheme="minorHAnsi" w:hAnsiTheme="minorHAnsi" w:cstheme="minorHAnsi"/>
                <w:sz w:val="20"/>
                <w:szCs w:val="20"/>
              </w:rPr>
              <w:t>intrakomunitárním obchodu</w:t>
            </w:r>
          </w:p>
        </w:tc>
        <w:tc>
          <w:tcPr>
            <w:tcW w:w="1524" w:type="dxa"/>
          </w:tcPr>
          <w:p w:rsidR="006B7C10" w:rsidRPr="00CF7B03" w:rsidRDefault="006B7C10" w:rsidP="0010342D">
            <w:pPr>
              <w:rPr>
                <w:rFonts w:asciiTheme="minorHAnsi" w:hAnsiTheme="minorHAnsi" w:cstheme="minorHAnsi"/>
                <w:sz w:val="20"/>
                <w:szCs w:val="20"/>
              </w:rPr>
            </w:pPr>
            <w:r w:rsidRPr="00CF7B03">
              <w:rPr>
                <w:rFonts w:asciiTheme="minorHAnsi" w:hAnsiTheme="minorHAnsi" w:cstheme="minorHAnsi"/>
                <w:sz w:val="20"/>
                <w:szCs w:val="20"/>
              </w:rPr>
              <w:t>Vystavení kolotočovým podvodům</w:t>
            </w:r>
          </w:p>
        </w:tc>
        <w:tc>
          <w:tcPr>
            <w:tcW w:w="1276" w:type="dxa"/>
          </w:tcPr>
          <w:p w:rsidR="006B7C10" w:rsidRPr="00CF7B03" w:rsidRDefault="006B7C10" w:rsidP="0010342D">
            <w:pPr>
              <w:rPr>
                <w:rFonts w:asciiTheme="minorHAnsi" w:hAnsiTheme="minorHAnsi" w:cstheme="minorHAnsi"/>
                <w:sz w:val="20"/>
                <w:szCs w:val="20"/>
              </w:rPr>
            </w:pPr>
            <w:r w:rsidRPr="00CF7B03">
              <w:rPr>
                <w:rFonts w:asciiTheme="minorHAnsi" w:hAnsiTheme="minorHAnsi" w:cstheme="minorHAnsi"/>
                <w:sz w:val="20"/>
                <w:szCs w:val="20"/>
              </w:rPr>
              <w:t>zvyšuje</w:t>
            </w:r>
          </w:p>
        </w:tc>
        <w:tc>
          <w:tcPr>
            <w:tcW w:w="1985" w:type="dxa"/>
          </w:tcPr>
          <w:p w:rsidR="006B7C10" w:rsidRPr="00CF7B03" w:rsidRDefault="006B7C10" w:rsidP="0010342D">
            <w:pPr>
              <w:rPr>
                <w:rFonts w:asciiTheme="minorHAnsi" w:hAnsiTheme="minorHAnsi" w:cstheme="minorHAnsi"/>
                <w:sz w:val="20"/>
                <w:szCs w:val="20"/>
              </w:rPr>
            </w:pPr>
            <w:proofErr w:type="spellStart"/>
            <w:r w:rsidRPr="00CF7B03">
              <w:rPr>
                <w:rFonts w:asciiTheme="minorHAnsi" w:hAnsiTheme="minorHAnsi" w:cstheme="minorHAnsi"/>
                <w:sz w:val="20"/>
                <w:szCs w:val="20"/>
              </w:rPr>
              <w:t>Eurostat</w:t>
            </w:r>
            <w:proofErr w:type="spellEnd"/>
            <w:r w:rsidRPr="00CF7B03">
              <w:rPr>
                <w:rFonts w:asciiTheme="minorHAnsi" w:hAnsiTheme="minorHAnsi" w:cstheme="minorHAnsi"/>
                <w:sz w:val="20"/>
                <w:szCs w:val="20"/>
              </w:rPr>
              <w:t xml:space="preserve"> (národní účty)</w:t>
            </w:r>
          </w:p>
        </w:tc>
        <w:tc>
          <w:tcPr>
            <w:tcW w:w="2551" w:type="dxa"/>
          </w:tcPr>
          <w:p w:rsidR="006B7C10" w:rsidRPr="00CF7B03" w:rsidRDefault="006B7C10" w:rsidP="0010342D">
            <w:pPr>
              <w:rPr>
                <w:rFonts w:asciiTheme="minorHAnsi" w:hAnsiTheme="minorHAnsi" w:cstheme="minorHAnsi"/>
                <w:sz w:val="20"/>
                <w:szCs w:val="20"/>
              </w:rPr>
            </w:pPr>
            <w:r w:rsidRPr="00CF7B03">
              <w:rPr>
                <w:rFonts w:asciiTheme="minorHAnsi" w:hAnsiTheme="minorHAnsi" w:cstheme="minorHAnsi"/>
                <w:sz w:val="20"/>
                <w:szCs w:val="20"/>
              </w:rPr>
              <w:t>Nově navrženo</w:t>
            </w:r>
          </w:p>
        </w:tc>
      </w:tr>
      <w:tr w:rsidR="00093681" w:rsidRPr="00CF7B03" w:rsidTr="00093681">
        <w:tc>
          <w:tcPr>
            <w:tcW w:w="9498" w:type="dxa"/>
            <w:gridSpan w:val="5"/>
          </w:tcPr>
          <w:p w:rsidR="00093681" w:rsidRPr="00CF7B03" w:rsidRDefault="00093681" w:rsidP="0010342D">
            <w:pPr>
              <w:rPr>
                <w:rFonts w:asciiTheme="minorHAnsi" w:hAnsiTheme="minorHAnsi" w:cstheme="minorHAnsi"/>
                <w:b/>
                <w:sz w:val="20"/>
                <w:szCs w:val="20"/>
                <w:highlight w:val="lightGray"/>
              </w:rPr>
            </w:pPr>
            <w:r w:rsidRPr="00CF7B03">
              <w:rPr>
                <w:rFonts w:asciiTheme="minorHAnsi" w:hAnsiTheme="minorHAnsi" w:cstheme="minorHAnsi"/>
                <w:b/>
                <w:sz w:val="20"/>
                <w:szCs w:val="20"/>
              </w:rPr>
              <w:t>Daňové faktory</w:t>
            </w:r>
          </w:p>
        </w:tc>
      </w:tr>
      <w:tr w:rsidR="00093681" w:rsidRPr="00CF7B03" w:rsidTr="00093681">
        <w:tc>
          <w:tcPr>
            <w:tcW w:w="2162"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Základní sazba DPH</w:t>
            </w:r>
          </w:p>
        </w:tc>
        <w:tc>
          <w:tcPr>
            <w:tcW w:w="1524"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Daňová zátěž</w:t>
            </w:r>
          </w:p>
        </w:tc>
        <w:tc>
          <w:tcPr>
            <w:tcW w:w="1276"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zvyšuje</w:t>
            </w:r>
          </w:p>
        </w:tc>
        <w:tc>
          <w:tcPr>
            <w:tcW w:w="1985"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Evropská komise</w:t>
            </w:r>
          </w:p>
        </w:tc>
        <w:tc>
          <w:tcPr>
            <w:tcW w:w="2551" w:type="dxa"/>
          </w:tcPr>
          <w:p w:rsidR="00093681" w:rsidRPr="00CF7B03" w:rsidRDefault="00093681" w:rsidP="0010342D">
            <w:pPr>
              <w:rPr>
                <w:rFonts w:asciiTheme="minorHAnsi" w:hAnsiTheme="minorHAnsi" w:cstheme="minorHAnsi"/>
                <w:sz w:val="20"/>
                <w:szCs w:val="20"/>
              </w:rPr>
            </w:pPr>
            <w:proofErr w:type="spellStart"/>
            <w:r w:rsidRPr="00CF7B03">
              <w:rPr>
                <w:rFonts w:asciiTheme="minorHAnsi" w:hAnsiTheme="minorHAnsi" w:cstheme="minorHAnsi"/>
                <w:sz w:val="20"/>
                <w:szCs w:val="20"/>
              </w:rPr>
              <w:t>Reckon</w:t>
            </w:r>
            <w:proofErr w:type="spellEnd"/>
            <w:r w:rsidRPr="00CF7B03">
              <w:rPr>
                <w:rFonts w:asciiTheme="minorHAnsi" w:hAnsiTheme="minorHAnsi" w:cstheme="minorHAnsi"/>
                <w:sz w:val="20"/>
                <w:szCs w:val="20"/>
              </w:rPr>
              <w:t xml:space="preserve"> (2009), </w:t>
            </w:r>
            <w:proofErr w:type="spellStart"/>
            <w:r w:rsidRPr="00CF7B03">
              <w:rPr>
                <w:rFonts w:asciiTheme="minorHAnsi" w:hAnsiTheme="minorHAnsi" w:cstheme="minorHAnsi"/>
                <w:sz w:val="20"/>
                <w:szCs w:val="20"/>
              </w:rPr>
              <w:t>Agha</w:t>
            </w:r>
            <w:proofErr w:type="spellEnd"/>
            <w:r w:rsidRPr="00CF7B03">
              <w:rPr>
                <w:rFonts w:asciiTheme="minorHAnsi" w:hAnsiTheme="minorHAnsi" w:cstheme="minorHAnsi"/>
                <w:sz w:val="20"/>
                <w:szCs w:val="20"/>
              </w:rPr>
              <w:t xml:space="preserve"> a </w:t>
            </w:r>
            <w:proofErr w:type="spellStart"/>
            <w:r w:rsidRPr="00CF7B03">
              <w:rPr>
                <w:rFonts w:asciiTheme="minorHAnsi" w:hAnsiTheme="minorHAnsi" w:cstheme="minorHAnsi"/>
                <w:sz w:val="20"/>
                <w:szCs w:val="20"/>
              </w:rPr>
              <w:t>Haughton</w:t>
            </w:r>
            <w:proofErr w:type="spellEnd"/>
            <w:r w:rsidRPr="00CF7B03">
              <w:rPr>
                <w:rFonts w:asciiTheme="minorHAnsi" w:hAnsiTheme="minorHAnsi" w:cstheme="minorHAnsi"/>
                <w:sz w:val="20"/>
                <w:szCs w:val="20"/>
              </w:rPr>
              <w:t xml:space="preserve"> (1996), </w:t>
            </w:r>
            <w:proofErr w:type="spellStart"/>
            <w:r w:rsidRPr="00CF7B03">
              <w:rPr>
                <w:rFonts w:asciiTheme="minorHAnsi" w:hAnsiTheme="minorHAnsi" w:cstheme="minorHAnsi"/>
                <w:sz w:val="20"/>
                <w:szCs w:val="20"/>
              </w:rPr>
              <w:t>Bodin</w:t>
            </w:r>
            <w:proofErr w:type="spellEnd"/>
            <w:r w:rsidRPr="00CF7B03">
              <w:rPr>
                <w:rFonts w:asciiTheme="minorHAnsi" w:hAnsiTheme="minorHAnsi" w:cstheme="minorHAnsi"/>
                <w:sz w:val="20"/>
                <w:szCs w:val="20"/>
              </w:rPr>
              <w:t xml:space="preserve"> et al (2001)</w:t>
            </w:r>
          </w:p>
        </w:tc>
      </w:tr>
      <w:tr w:rsidR="00093681" w:rsidRPr="00CF7B03" w:rsidTr="00093681">
        <w:tc>
          <w:tcPr>
            <w:tcW w:w="2162"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Teoretická daňová povinnost vůči HDP</w:t>
            </w:r>
          </w:p>
        </w:tc>
        <w:tc>
          <w:tcPr>
            <w:tcW w:w="1524"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Daňová zátěž</w:t>
            </w:r>
          </w:p>
        </w:tc>
        <w:tc>
          <w:tcPr>
            <w:tcW w:w="1276"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zvyšuje</w:t>
            </w:r>
          </w:p>
        </w:tc>
        <w:tc>
          <w:tcPr>
            <w:tcW w:w="1985"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Vlastní výpočet v disertační práci</w:t>
            </w:r>
          </w:p>
        </w:tc>
        <w:tc>
          <w:tcPr>
            <w:tcW w:w="2551" w:type="dxa"/>
          </w:tcPr>
          <w:p w:rsidR="00093681" w:rsidRPr="00CF7B03" w:rsidRDefault="00093681" w:rsidP="0010342D">
            <w:pPr>
              <w:rPr>
                <w:rFonts w:asciiTheme="minorHAnsi" w:hAnsiTheme="minorHAnsi" w:cstheme="minorHAnsi"/>
                <w:sz w:val="20"/>
                <w:szCs w:val="20"/>
              </w:rPr>
            </w:pPr>
            <w:proofErr w:type="spellStart"/>
            <w:r w:rsidRPr="00CF7B03">
              <w:rPr>
                <w:rFonts w:asciiTheme="minorHAnsi" w:hAnsiTheme="minorHAnsi" w:cstheme="minorHAnsi"/>
                <w:sz w:val="20"/>
                <w:szCs w:val="20"/>
              </w:rPr>
              <w:t>Reckon</w:t>
            </w:r>
            <w:proofErr w:type="spellEnd"/>
            <w:r w:rsidRPr="00CF7B03">
              <w:rPr>
                <w:rFonts w:asciiTheme="minorHAnsi" w:hAnsiTheme="minorHAnsi" w:cstheme="minorHAnsi"/>
                <w:sz w:val="20"/>
                <w:szCs w:val="20"/>
              </w:rPr>
              <w:t xml:space="preserve"> (2009)</w:t>
            </w:r>
          </w:p>
        </w:tc>
      </w:tr>
      <w:tr w:rsidR="00093681" w:rsidRPr="00CF7B03" w:rsidTr="00093681">
        <w:tc>
          <w:tcPr>
            <w:tcW w:w="2162"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 xml:space="preserve">Implicitní sazba daní ze spotřeby (výnos daní ze spotřeby vůči konečné spotřebě domácností) </w:t>
            </w:r>
          </w:p>
        </w:tc>
        <w:tc>
          <w:tcPr>
            <w:tcW w:w="1524"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Efektivní daňová zátěž</w:t>
            </w:r>
          </w:p>
        </w:tc>
        <w:tc>
          <w:tcPr>
            <w:tcW w:w="1276"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zvyšuje</w:t>
            </w:r>
          </w:p>
        </w:tc>
        <w:tc>
          <w:tcPr>
            <w:tcW w:w="1985"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Evropská komise (</w:t>
            </w:r>
            <w:proofErr w:type="spellStart"/>
            <w:r w:rsidRPr="00CF7B03">
              <w:rPr>
                <w:rFonts w:asciiTheme="minorHAnsi" w:hAnsiTheme="minorHAnsi" w:cstheme="minorHAnsi"/>
                <w:sz w:val="20"/>
                <w:szCs w:val="20"/>
              </w:rPr>
              <w:t>Taxation</w:t>
            </w:r>
            <w:proofErr w:type="spellEnd"/>
            <w:r w:rsidRPr="00CF7B03">
              <w:rPr>
                <w:rFonts w:asciiTheme="minorHAnsi" w:hAnsiTheme="minorHAnsi" w:cstheme="minorHAnsi"/>
                <w:sz w:val="20"/>
                <w:szCs w:val="20"/>
              </w:rPr>
              <w:t xml:space="preserve"> </w:t>
            </w:r>
            <w:proofErr w:type="spellStart"/>
            <w:r w:rsidRPr="00CF7B03">
              <w:rPr>
                <w:rFonts w:asciiTheme="minorHAnsi" w:hAnsiTheme="minorHAnsi" w:cstheme="minorHAnsi"/>
                <w:sz w:val="20"/>
                <w:szCs w:val="20"/>
              </w:rPr>
              <w:t>Trends</w:t>
            </w:r>
            <w:proofErr w:type="spellEnd"/>
            <w:r w:rsidRPr="00CF7B03">
              <w:rPr>
                <w:rFonts w:asciiTheme="minorHAnsi" w:hAnsiTheme="minorHAnsi" w:cstheme="minorHAnsi"/>
                <w:sz w:val="20"/>
                <w:szCs w:val="20"/>
              </w:rPr>
              <w:t xml:space="preserve"> in </w:t>
            </w:r>
            <w:proofErr w:type="spellStart"/>
            <w:r w:rsidRPr="00CF7B03">
              <w:rPr>
                <w:rFonts w:asciiTheme="minorHAnsi" w:hAnsiTheme="minorHAnsi" w:cstheme="minorHAnsi"/>
                <w:sz w:val="20"/>
                <w:szCs w:val="20"/>
              </w:rPr>
              <w:t>the</w:t>
            </w:r>
            <w:proofErr w:type="spellEnd"/>
            <w:r w:rsidRPr="00CF7B03">
              <w:rPr>
                <w:rFonts w:asciiTheme="minorHAnsi" w:hAnsiTheme="minorHAnsi" w:cstheme="minorHAnsi"/>
                <w:sz w:val="20"/>
                <w:szCs w:val="20"/>
              </w:rPr>
              <w:t xml:space="preserve"> EU)</w:t>
            </w:r>
          </w:p>
        </w:tc>
        <w:tc>
          <w:tcPr>
            <w:tcW w:w="2551"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 xml:space="preserve">Nově navrženo </w:t>
            </w:r>
          </w:p>
        </w:tc>
      </w:tr>
      <w:tr w:rsidR="00093681" w:rsidRPr="00CF7B03" w:rsidTr="00093681">
        <w:tc>
          <w:tcPr>
            <w:tcW w:w="9498" w:type="dxa"/>
            <w:gridSpan w:val="5"/>
          </w:tcPr>
          <w:p w:rsidR="00093681" w:rsidRPr="00CF7B03" w:rsidRDefault="00093681" w:rsidP="0010342D">
            <w:pPr>
              <w:rPr>
                <w:rFonts w:asciiTheme="minorHAnsi" w:hAnsiTheme="minorHAnsi" w:cstheme="minorHAnsi"/>
                <w:b/>
                <w:sz w:val="20"/>
                <w:szCs w:val="20"/>
              </w:rPr>
            </w:pPr>
            <w:r w:rsidRPr="00CF7B03">
              <w:rPr>
                <w:rFonts w:asciiTheme="minorHAnsi" w:hAnsiTheme="minorHAnsi" w:cstheme="minorHAnsi"/>
                <w:b/>
                <w:sz w:val="20"/>
                <w:szCs w:val="20"/>
              </w:rPr>
              <w:t>Sociálně-institucionální faktory</w:t>
            </w:r>
          </w:p>
        </w:tc>
      </w:tr>
      <w:tr w:rsidR="00093681" w:rsidRPr="00CF7B03" w:rsidTr="00093681">
        <w:trPr>
          <w:trHeight w:val="1523"/>
        </w:trPr>
        <w:tc>
          <w:tcPr>
            <w:tcW w:w="2162"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Podíl šedé ekonomiky</w:t>
            </w:r>
          </w:p>
        </w:tc>
        <w:tc>
          <w:tcPr>
            <w:tcW w:w="1524"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Podíl daňových úniků z důvodu šedé ekonomiky</w:t>
            </w:r>
          </w:p>
        </w:tc>
        <w:tc>
          <w:tcPr>
            <w:tcW w:w="1276"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zvyšuje</w:t>
            </w:r>
          </w:p>
        </w:tc>
        <w:tc>
          <w:tcPr>
            <w:tcW w:w="1985"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Schneider (2012)</w:t>
            </w:r>
          </w:p>
        </w:tc>
        <w:tc>
          <w:tcPr>
            <w:tcW w:w="2551" w:type="dxa"/>
          </w:tcPr>
          <w:p w:rsidR="00093681" w:rsidRPr="00CF7B03" w:rsidRDefault="00093681" w:rsidP="0010342D">
            <w:pPr>
              <w:rPr>
                <w:rFonts w:asciiTheme="minorHAnsi" w:hAnsiTheme="minorHAnsi" w:cstheme="minorHAnsi"/>
                <w:sz w:val="20"/>
                <w:szCs w:val="20"/>
              </w:rPr>
            </w:pPr>
          </w:p>
        </w:tc>
      </w:tr>
      <w:tr w:rsidR="00093681" w:rsidRPr="00CF7B03" w:rsidTr="00093681">
        <w:tc>
          <w:tcPr>
            <w:tcW w:w="2162"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Index soudní/právní efektivity</w:t>
            </w:r>
          </w:p>
        </w:tc>
        <w:tc>
          <w:tcPr>
            <w:tcW w:w="1524"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Pravděpodobnost penalizace za daňový podvod</w:t>
            </w:r>
          </w:p>
        </w:tc>
        <w:tc>
          <w:tcPr>
            <w:tcW w:w="1276"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snižuje</w:t>
            </w:r>
          </w:p>
        </w:tc>
        <w:tc>
          <w:tcPr>
            <w:tcW w:w="1985"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fldChar w:fldCharType="begin"/>
            </w:r>
            <w:r w:rsidRPr="00CF7B03">
              <w:rPr>
                <w:rFonts w:asciiTheme="minorHAnsi" w:hAnsiTheme="minorHAnsi" w:cstheme="minorHAnsi"/>
                <w:sz w:val="20"/>
                <w:szCs w:val="20"/>
              </w:rPr>
              <w:instrText xml:space="preserve"> ADDIN ZOTERO_ITEM CSL_CITATION {"citationID":"FpTWEScz","properties":{"formattedCitation":"(Kaufmann 2004)","plainCitation":"(Kaufmann 2004)"},"citationItems":[{"id":30,"uris":["http://zotero.org/users/1096616/items/V435JU2J"],"uri":["http://zotero.org/users/1096616/items/V435JU2J"],"itemData":{"id":30,"type":"article-journal","title":"Corruption, Governance and Security: Challenges for the Rich Countries and the World","container-title":"SSRN eLibrary","abstract":"Traditionally, national governance and corruption challenges have been seen as: i) particularly daunting in the poorer countries, with the richer world viewed as exemplary; ii) anchored within a legalistic framework and focused on formal institutions, iii) a challenge within public sectors, and, iv) divorced from global governance or security issues - seen as separate fields. Through an empirical approach based on the analysis of the 2004 survey of enterprises by the World Economic Forum, we challenge these notions and portray a more complex reality. We suggest that the undue emphasis on narrow legalism has obscured more subtle yet costly manifestations of misgovernance, which afflict rich countries as well. Emphasis is also given to measurement and analysis of misgovernance when the rules of the game have been captured by the elite through undue influence. We construct a new set of ethics indices, encompassing forms of (legal) corruption not subject to measurement in conventional (illegal) corruption indicators. It is found that manifestations of legal corruption may be more prevalent than illegal forms, such as outright bribery, and particularly so in richer countries. Further, we find that governance constraints, and corruption in particular, is a key determinant of a country's global competitiveness. These findings challenge traditional notions of what constitutes the country's 'investment climate', and who shapes it. It is also found that illegal forms of corruption continue to be prevalent in the interaction between transnationals of the rich world and the public sectors in many emerging countries. Finally, we suggest an empirical link between governance and security issues.","URL":"http://papers.ssrn.com/sol3/papers.cfm?abstract_id=605801","shortTitle":"Corruption, Governance and Security","author":[{"family":"Kaufmann","given":"Daniel"}],"issued":{"year":2004,"month":10},"accessed":{"year":2012,"month":9,"day":29}}}],"schema":"https://github.com/citation-style-language/schema/raw/master/csl-citation.json"} </w:instrText>
            </w:r>
            <w:r w:rsidRPr="00CF7B03">
              <w:rPr>
                <w:rFonts w:asciiTheme="minorHAnsi" w:hAnsiTheme="minorHAnsi" w:cstheme="minorHAnsi"/>
                <w:sz w:val="20"/>
                <w:szCs w:val="20"/>
              </w:rPr>
              <w:fldChar w:fldCharType="separate"/>
            </w:r>
            <w:r w:rsidRPr="00CF7B03">
              <w:rPr>
                <w:rFonts w:asciiTheme="minorHAnsi" w:hAnsiTheme="minorHAnsi" w:cstheme="minorHAnsi"/>
                <w:sz w:val="20"/>
                <w:szCs w:val="20"/>
              </w:rPr>
              <w:t>Kaufmann (2004)</w:t>
            </w:r>
            <w:r w:rsidRPr="00CF7B03">
              <w:rPr>
                <w:rFonts w:asciiTheme="minorHAnsi" w:hAnsiTheme="minorHAnsi" w:cstheme="minorHAnsi"/>
                <w:sz w:val="20"/>
                <w:szCs w:val="20"/>
              </w:rPr>
              <w:fldChar w:fldCharType="end"/>
            </w:r>
          </w:p>
        </w:tc>
        <w:tc>
          <w:tcPr>
            <w:tcW w:w="2551" w:type="dxa"/>
          </w:tcPr>
          <w:p w:rsidR="00093681" w:rsidRPr="00CF7B03" w:rsidRDefault="00093681" w:rsidP="0010342D">
            <w:pPr>
              <w:rPr>
                <w:rFonts w:asciiTheme="minorHAnsi" w:hAnsiTheme="minorHAnsi" w:cstheme="minorHAnsi"/>
                <w:sz w:val="20"/>
                <w:szCs w:val="20"/>
              </w:rPr>
            </w:pPr>
            <w:proofErr w:type="spellStart"/>
            <w:r w:rsidRPr="00CF7B03">
              <w:rPr>
                <w:rFonts w:asciiTheme="minorHAnsi" w:hAnsiTheme="minorHAnsi" w:cstheme="minorHAnsi"/>
                <w:sz w:val="20"/>
                <w:szCs w:val="20"/>
              </w:rPr>
              <w:t>Reckon</w:t>
            </w:r>
            <w:proofErr w:type="spellEnd"/>
            <w:r w:rsidRPr="00CF7B03">
              <w:rPr>
                <w:rFonts w:asciiTheme="minorHAnsi" w:hAnsiTheme="minorHAnsi" w:cstheme="minorHAnsi"/>
                <w:sz w:val="20"/>
                <w:szCs w:val="20"/>
              </w:rPr>
              <w:t xml:space="preserve"> (2009), Christie a </w:t>
            </w:r>
            <w:proofErr w:type="spellStart"/>
            <w:r w:rsidRPr="00CF7B03">
              <w:rPr>
                <w:rFonts w:asciiTheme="minorHAnsi" w:hAnsiTheme="minorHAnsi" w:cstheme="minorHAnsi"/>
                <w:sz w:val="20"/>
                <w:szCs w:val="20"/>
              </w:rPr>
              <w:t>Holzner</w:t>
            </w:r>
            <w:proofErr w:type="spellEnd"/>
            <w:r w:rsidRPr="00CF7B03">
              <w:rPr>
                <w:rFonts w:asciiTheme="minorHAnsi" w:hAnsiTheme="minorHAnsi" w:cstheme="minorHAnsi"/>
                <w:sz w:val="20"/>
                <w:szCs w:val="20"/>
              </w:rPr>
              <w:t xml:space="preserve"> (2006)</w:t>
            </w:r>
          </w:p>
        </w:tc>
      </w:tr>
      <w:tr w:rsidR="00093681" w:rsidRPr="00CF7B03" w:rsidTr="00093681">
        <w:tc>
          <w:tcPr>
            <w:tcW w:w="2162"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Podíl obyvatel, kteří si myslí, že je neospravedlnitelné podvádět na daních</w:t>
            </w:r>
          </w:p>
        </w:tc>
        <w:tc>
          <w:tcPr>
            <w:tcW w:w="1524"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Morální standardy</w:t>
            </w:r>
          </w:p>
        </w:tc>
        <w:tc>
          <w:tcPr>
            <w:tcW w:w="1276"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snižuje</w:t>
            </w:r>
          </w:p>
        </w:tc>
        <w:tc>
          <w:tcPr>
            <w:tcW w:w="1985" w:type="dxa"/>
          </w:tcPr>
          <w:p w:rsidR="00093681" w:rsidRPr="00CF7B03" w:rsidRDefault="00093681" w:rsidP="0010342D">
            <w:pPr>
              <w:rPr>
                <w:rFonts w:asciiTheme="minorHAnsi" w:hAnsiTheme="minorHAnsi" w:cstheme="minorHAnsi"/>
                <w:sz w:val="20"/>
                <w:szCs w:val="20"/>
              </w:rPr>
            </w:pPr>
            <w:proofErr w:type="spellStart"/>
            <w:r w:rsidRPr="00CF7B03">
              <w:rPr>
                <w:rFonts w:asciiTheme="minorHAnsi" w:hAnsiTheme="minorHAnsi" w:cstheme="minorHAnsi"/>
                <w:sz w:val="20"/>
                <w:szCs w:val="20"/>
              </w:rPr>
              <w:t>World</w:t>
            </w:r>
            <w:proofErr w:type="spellEnd"/>
            <w:r w:rsidRPr="00CF7B03">
              <w:rPr>
                <w:rFonts w:asciiTheme="minorHAnsi" w:hAnsiTheme="minorHAnsi" w:cstheme="minorHAnsi"/>
                <w:sz w:val="20"/>
                <w:szCs w:val="20"/>
              </w:rPr>
              <w:t xml:space="preserve"> </w:t>
            </w:r>
            <w:proofErr w:type="spellStart"/>
            <w:r w:rsidRPr="00CF7B03">
              <w:rPr>
                <w:rFonts w:asciiTheme="minorHAnsi" w:hAnsiTheme="minorHAnsi" w:cstheme="minorHAnsi"/>
                <w:sz w:val="20"/>
                <w:szCs w:val="20"/>
              </w:rPr>
              <w:t>Values</w:t>
            </w:r>
            <w:proofErr w:type="spellEnd"/>
            <w:r w:rsidRPr="00CF7B03">
              <w:rPr>
                <w:rFonts w:asciiTheme="minorHAnsi" w:hAnsiTheme="minorHAnsi" w:cstheme="minorHAnsi"/>
                <w:sz w:val="20"/>
                <w:szCs w:val="20"/>
              </w:rPr>
              <w:t xml:space="preserve"> </w:t>
            </w:r>
            <w:proofErr w:type="spellStart"/>
            <w:r w:rsidRPr="00CF7B03">
              <w:rPr>
                <w:rFonts w:asciiTheme="minorHAnsi" w:hAnsiTheme="minorHAnsi" w:cstheme="minorHAnsi"/>
                <w:sz w:val="20"/>
                <w:szCs w:val="20"/>
              </w:rPr>
              <w:t>Surveys</w:t>
            </w:r>
            <w:proofErr w:type="spellEnd"/>
            <w:r w:rsidRPr="00CF7B03">
              <w:rPr>
                <w:rFonts w:asciiTheme="minorHAnsi" w:hAnsiTheme="minorHAnsi" w:cstheme="minorHAnsi"/>
                <w:sz w:val="20"/>
                <w:szCs w:val="20"/>
              </w:rPr>
              <w:t xml:space="preserve"> (odpovědi na otázku F116)</w:t>
            </w:r>
          </w:p>
        </w:tc>
        <w:tc>
          <w:tcPr>
            <w:tcW w:w="2551" w:type="dxa"/>
          </w:tcPr>
          <w:p w:rsidR="00093681" w:rsidRPr="00CF7B03" w:rsidRDefault="00093681" w:rsidP="0010342D">
            <w:pPr>
              <w:rPr>
                <w:rFonts w:asciiTheme="minorHAnsi" w:hAnsiTheme="minorHAnsi" w:cstheme="minorHAnsi"/>
                <w:sz w:val="20"/>
                <w:szCs w:val="20"/>
              </w:rPr>
            </w:pPr>
            <w:proofErr w:type="spellStart"/>
            <w:r w:rsidRPr="00CF7B03">
              <w:rPr>
                <w:rFonts w:asciiTheme="minorHAnsi" w:hAnsiTheme="minorHAnsi" w:cstheme="minorHAnsi"/>
                <w:sz w:val="20"/>
                <w:szCs w:val="20"/>
              </w:rPr>
              <w:t>Reckon</w:t>
            </w:r>
            <w:proofErr w:type="spellEnd"/>
            <w:r w:rsidRPr="00CF7B03">
              <w:rPr>
                <w:rFonts w:asciiTheme="minorHAnsi" w:hAnsiTheme="minorHAnsi" w:cstheme="minorHAnsi"/>
                <w:sz w:val="20"/>
                <w:szCs w:val="20"/>
              </w:rPr>
              <w:t xml:space="preserve"> (2009), Christie a </w:t>
            </w:r>
            <w:proofErr w:type="spellStart"/>
            <w:r w:rsidRPr="00CF7B03">
              <w:rPr>
                <w:rFonts w:asciiTheme="minorHAnsi" w:hAnsiTheme="minorHAnsi" w:cstheme="minorHAnsi"/>
                <w:sz w:val="20"/>
                <w:szCs w:val="20"/>
              </w:rPr>
              <w:t>Holzner</w:t>
            </w:r>
            <w:proofErr w:type="spellEnd"/>
            <w:r w:rsidRPr="00CF7B03">
              <w:rPr>
                <w:rFonts w:asciiTheme="minorHAnsi" w:hAnsiTheme="minorHAnsi" w:cstheme="minorHAnsi"/>
                <w:sz w:val="20"/>
                <w:szCs w:val="20"/>
              </w:rPr>
              <w:t xml:space="preserve"> (2006)</w:t>
            </w:r>
          </w:p>
        </w:tc>
      </w:tr>
      <w:tr w:rsidR="00093681" w:rsidRPr="00CF7B03" w:rsidTr="00093681">
        <w:tc>
          <w:tcPr>
            <w:tcW w:w="2162"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Index korupce*</w:t>
            </w:r>
          </w:p>
        </w:tc>
        <w:tc>
          <w:tcPr>
            <w:tcW w:w="1524"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Stupeň korupce, důvěra obyvatel ve veřejný sektor</w:t>
            </w:r>
          </w:p>
        </w:tc>
        <w:tc>
          <w:tcPr>
            <w:tcW w:w="1276"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snižuje</w:t>
            </w:r>
          </w:p>
        </w:tc>
        <w:tc>
          <w:tcPr>
            <w:tcW w:w="1985" w:type="dxa"/>
          </w:tcPr>
          <w:p w:rsidR="00093681" w:rsidRPr="00CF7B03" w:rsidRDefault="00093681" w:rsidP="0010342D">
            <w:pPr>
              <w:rPr>
                <w:rFonts w:asciiTheme="minorHAnsi" w:hAnsiTheme="minorHAnsi" w:cstheme="minorHAnsi"/>
                <w:sz w:val="20"/>
                <w:szCs w:val="20"/>
              </w:rPr>
            </w:pPr>
            <w:proofErr w:type="spellStart"/>
            <w:r w:rsidRPr="00CF7B03">
              <w:rPr>
                <w:rFonts w:asciiTheme="minorHAnsi" w:hAnsiTheme="minorHAnsi" w:cstheme="minorHAnsi"/>
                <w:sz w:val="20"/>
                <w:szCs w:val="20"/>
              </w:rPr>
              <w:t>Transparency</w:t>
            </w:r>
            <w:proofErr w:type="spellEnd"/>
            <w:r w:rsidRPr="00CF7B03">
              <w:rPr>
                <w:rFonts w:asciiTheme="minorHAnsi" w:hAnsiTheme="minorHAnsi" w:cstheme="minorHAnsi"/>
                <w:sz w:val="20"/>
                <w:szCs w:val="20"/>
              </w:rPr>
              <w:t xml:space="preserve"> International Report</w:t>
            </w:r>
            <w:r w:rsidRPr="00CF7B03">
              <w:rPr>
                <w:rFonts w:asciiTheme="minorHAnsi" w:hAnsiTheme="minorHAnsi" w:cstheme="minorHAnsi"/>
                <w:sz w:val="20"/>
                <w:szCs w:val="20"/>
              </w:rPr>
              <w:fldChar w:fldCharType="begin"/>
            </w:r>
            <w:r w:rsidRPr="00CF7B03">
              <w:rPr>
                <w:rFonts w:asciiTheme="minorHAnsi" w:hAnsiTheme="minorHAnsi" w:cstheme="minorHAnsi"/>
                <w:sz w:val="20"/>
                <w:szCs w:val="20"/>
              </w:rPr>
              <w:instrText xml:space="preserve"> ADDIN ZOTERO_ITEM CSL_CITATION {"citationID":"w1NzKbPu","properties":{"formattedCitation":"(Anon.)","plainCitation":"(Anon.)"},"citationItems":[{"id":85,"uris":["http://zotero.org/users/1096616/items/IGEA3PV3"],"uri":["http://zotero.org/users/1096616/items/IGEA3PV3"],"itemData":{"id":85,"type":"webpage","title":"Research - CPI - Overview","URL":"http://www.transparency.org/research/cpi/overview","accessed":{"year":2012,"month":9,"day":29}}}],"schema":"https://github.com/citation-style-language/schema/raw/master/csl-citation.json"} </w:instrText>
            </w:r>
            <w:r w:rsidRPr="00CF7B03">
              <w:rPr>
                <w:rFonts w:asciiTheme="minorHAnsi" w:hAnsiTheme="minorHAnsi" w:cstheme="minorHAnsi"/>
                <w:sz w:val="20"/>
                <w:szCs w:val="20"/>
              </w:rPr>
              <w:fldChar w:fldCharType="separate"/>
            </w:r>
            <w:r w:rsidRPr="00CF7B03">
              <w:rPr>
                <w:rFonts w:asciiTheme="minorHAnsi" w:hAnsiTheme="minorHAnsi" w:cstheme="minorHAnsi"/>
                <w:sz w:val="20"/>
                <w:szCs w:val="20"/>
              </w:rPr>
              <w:t>(Anon.)</w:t>
            </w:r>
            <w:r w:rsidRPr="00CF7B03">
              <w:rPr>
                <w:rFonts w:asciiTheme="minorHAnsi" w:hAnsiTheme="minorHAnsi" w:cstheme="minorHAnsi"/>
                <w:sz w:val="20"/>
                <w:szCs w:val="20"/>
              </w:rPr>
              <w:fldChar w:fldCharType="end"/>
            </w:r>
          </w:p>
        </w:tc>
        <w:tc>
          <w:tcPr>
            <w:tcW w:w="2551" w:type="dxa"/>
          </w:tcPr>
          <w:p w:rsidR="00093681" w:rsidRPr="00CF7B03" w:rsidRDefault="00093681" w:rsidP="0010342D">
            <w:pPr>
              <w:rPr>
                <w:rFonts w:asciiTheme="minorHAnsi" w:hAnsiTheme="minorHAnsi" w:cstheme="minorHAnsi"/>
                <w:sz w:val="20"/>
                <w:szCs w:val="20"/>
              </w:rPr>
            </w:pPr>
            <w:proofErr w:type="spellStart"/>
            <w:r w:rsidRPr="00CF7B03">
              <w:rPr>
                <w:rFonts w:asciiTheme="minorHAnsi" w:hAnsiTheme="minorHAnsi" w:cstheme="minorHAnsi"/>
                <w:sz w:val="20"/>
                <w:szCs w:val="20"/>
              </w:rPr>
              <w:t>Reckon</w:t>
            </w:r>
            <w:proofErr w:type="spellEnd"/>
            <w:r w:rsidRPr="00CF7B03">
              <w:rPr>
                <w:rFonts w:asciiTheme="minorHAnsi" w:hAnsiTheme="minorHAnsi" w:cstheme="minorHAnsi"/>
                <w:sz w:val="20"/>
                <w:szCs w:val="20"/>
              </w:rPr>
              <w:t xml:space="preserve"> (2009)</w:t>
            </w:r>
          </w:p>
        </w:tc>
      </w:tr>
      <w:tr w:rsidR="00093681" w:rsidRPr="00CF7B03" w:rsidTr="00093681">
        <w:tc>
          <w:tcPr>
            <w:tcW w:w="2162"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Index efektivnosti vlády</w:t>
            </w:r>
          </w:p>
        </w:tc>
        <w:tc>
          <w:tcPr>
            <w:tcW w:w="1524"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Důvěra obyvatel ve veřejný sektor</w:t>
            </w:r>
          </w:p>
        </w:tc>
        <w:tc>
          <w:tcPr>
            <w:tcW w:w="1276" w:type="dxa"/>
          </w:tcPr>
          <w:p w:rsidR="00093681" w:rsidRPr="00CF7B03" w:rsidRDefault="00093681" w:rsidP="0010342D">
            <w:pPr>
              <w:rPr>
                <w:rFonts w:asciiTheme="minorHAnsi" w:hAnsiTheme="minorHAnsi" w:cstheme="minorHAnsi"/>
                <w:sz w:val="20"/>
                <w:szCs w:val="20"/>
              </w:rPr>
            </w:pPr>
            <w:r w:rsidRPr="00CF7B03">
              <w:rPr>
                <w:rFonts w:asciiTheme="minorHAnsi" w:hAnsiTheme="minorHAnsi" w:cstheme="minorHAnsi"/>
                <w:sz w:val="20"/>
                <w:szCs w:val="20"/>
              </w:rPr>
              <w:t>snižuje</w:t>
            </w:r>
          </w:p>
        </w:tc>
        <w:tc>
          <w:tcPr>
            <w:tcW w:w="1985" w:type="dxa"/>
          </w:tcPr>
          <w:p w:rsidR="00093681" w:rsidRPr="00CF7B03" w:rsidRDefault="00053463" w:rsidP="0010342D">
            <w:pPr>
              <w:rPr>
                <w:rFonts w:asciiTheme="minorHAnsi" w:hAnsiTheme="minorHAnsi" w:cstheme="minorHAnsi"/>
                <w:sz w:val="20"/>
                <w:szCs w:val="20"/>
              </w:rPr>
            </w:pPr>
            <w:r w:rsidRPr="00CF7B03">
              <w:rPr>
                <w:rFonts w:asciiTheme="minorHAnsi" w:hAnsiTheme="minorHAnsi" w:cstheme="minorHAnsi"/>
                <w:sz w:val="20"/>
                <w:szCs w:val="20"/>
              </w:rPr>
              <w:fldChar w:fldCharType="begin"/>
            </w:r>
            <w:r w:rsidRPr="00CF7B03">
              <w:rPr>
                <w:rFonts w:asciiTheme="minorHAnsi" w:hAnsiTheme="minorHAnsi" w:cstheme="minorHAnsi"/>
                <w:sz w:val="20"/>
                <w:szCs w:val="20"/>
              </w:rPr>
              <w:instrText xml:space="preserve"> ADDIN ZOTERO_ITEM CSL_CITATION {"citationID":"4TTFZAy3","properties":{"formattedCitation":"(Kaufmann, Kraay, a Mastruzzi 2009)","plainCitation":"(Kaufmann, Kraay, a Mastruzzi 2009)"},"citationItems":[{"id":113,"uris":["http://zotero.org/users/1096616/items/D28J4TQ4"],"uri":["http://zotero.org/users/1096616/items/D28J4TQ4"],"itemData":{"id":113,"type":"article-journal","title":"Governance Matters VIII: Aggregate and Individual Governance Indicators, 1996-2008","container-title":"SSRN eLibrary","abstract":"This paper reports on the 2009 update of the Worldwide Governance Indicators (WGI) research project, covering 212 countries and territories and measuring six dimensions of governance between 1996 and 2008: Voice and Accountability, Political Stability and Absence of Violence/Terrorism, Government Effectiveness, Regulatory Quality, Rule of Law, and Control of Corruption. These aggregate indicators are based on hundreds of specific and disaggregated individual variables measuring various dimensions of governance, taken from 35 data sources provided by 33 different organizations. The data reflect the views on governance of public sector, private sector and NGO experts, as well as thousands of citizen and firm survey respondents worldwide. We also explicitly report the margins of error accompanying each country estimate. These reflect the inherent difficulties in measuring governance using any kind of data. We find that even after taking margins of error into account, the WGI permit meaningful cross-country comparisons as well as monitoring progress over time.","URL":"http://papers.ssrn.com/sol3/papers.cfm?abstract_id=1424591","shortTitle":"Governance Matters VIII","author":[{"family":"Kaufmann","given":"Daniel"},{"family":"Kraay","given":"Aart"},{"family":"Mastruzzi","given":"Massimo"}],"issued":{"year":2009,"month":6,"day":29},"accessed":{"year":2012,"month":11,"day":10}}}],"schema":"https://github.com/citation-style-language/schema/raw/master/csl-citation.json"} </w:instrText>
            </w:r>
            <w:r w:rsidRPr="00CF7B03">
              <w:rPr>
                <w:rFonts w:asciiTheme="minorHAnsi" w:hAnsiTheme="minorHAnsi" w:cstheme="minorHAnsi"/>
                <w:sz w:val="20"/>
                <w:szCs w:val="20"/>
              </w:rPr>
              <w:fldChar w:fldCharType="separate"/>
            </w:r>
            <w:r w:rsidRPr="00CF7B03">
              <w:rPr>
                <w:rFonts w:asciiTheme="minorHAnsi" w:hAnsiTheme="minorHAnsi" w:cstheme="minorHAnsi"/>
                <w:sz w:val="20"/>
                <w:szCs w:val="20"/>
              </w:rPr>
              <w:t>Kaufmann, Kraay, a Mastruzzi (2009)</w:t>
            </w:r>
            <w:r w:rsidRPr="00CF7B03">
              <w:rPr>
                <w:rFonts w:asciiTheme="minorHAnsi" w:hAnsiTheme="minorHAnsi" w:cstheme="minorHAnsi"/>
                <w:sz w:val="20"/>
                <w:szCs w:val="20"/>
              </w:rPr>
              <w:fldChar w:fldCharType="end"/>
            </w:r>
          </w:p>
        </w:tc>
        <w:tc>
          <w:tcPr>
            <w:tcW w:w="2551" w:type="dxa"/>
          </w:tcPr>
          <w:p w:rsidR="00093681" w:rsidRPr="00CF7B03" w:rsidRDefault="00093681" w:rsidP="0010342D">
            <w:pPr>
              <w:rPr>
                <w:rFonts w:asciiTheme="minorHAnsi" w:hAnsiTheme="minorHAnsi" w:cstheme="minorHAnsi"/>
                <w:sz w:val="20"/>
                <w:szCs w:val="20"/>
              </w:rPr>
            </w:pPr>
            <w:proofErr w:type="spellStart"/>
            <w:r w:rsidRPr="00CF7B03">
              <w:rPr>
                <w:rFonts w:asciiTheme="minorHAnsi" w:hAnsiTheme="minorHAnsi" w:cstheme="minorHAnsi"/>
                <w:sz w:val="20"/>
                <w:szCs w:val="20"/>
              </w:rPr>
              <w:t>Bird</w:t>
            </w:r>
            <w:proofErr w:type="spellEnd"/>
            <w:r w:rsidRPr="00CF7B03">
              <w:rPr>
                <w:rFonts w:asciiTheme="minorHAnsi" w:hAnsiTheme="minorHAnsi" w:cstheme="minorHAnsi"/>
                <w:sz w:val="20"/>
                <w:szCs w:val="20"/>
              </w:rPr>
              <w:t xml:space="preserve"> et al. (2004)</w:t>
            </w:r>
          </w:p>
        </w:tc>
      </w:tr>
    </w:tbl>
    <w:p w:rsidR="006B5377" w:rsidRPr="00CF7B03" w:rsidRDefault="006B5377" w:rsidP="0010342D">
      <w:pPr>
        <w:spacing w:after="120"/>
        <w:ind w:left="142" w:hanging="142"/>
        <w:rPr>
          <w:rFonts w:asciiTheme="minorHAnsi" w:hAnsiTheme="minorHAnsi" w:cstheme="minorHAnsi"/>
        </w:rPr>
      </w:pPr>
      <w:r w:rsidRPr="00CF7B03">
        <w:rPr>
          <w:rFonts w:asciiTheme="minorHAnsi" w:hAnsiTheme="minorHAnsi" w:cstheme="minorHAnsi"/>
        </w:rPr>
        <w:t xml:space="preserve">* </w:t>
      </w:r>
      <w:r w:rsidR="00E925B9" w:rsidRPr="00CF7B03">
        <w:rPr>
          <w:rFonts w:asciiTheme="minorHAnsi" w:hAnsiTheme="minorHAnsi" w:cstheme="minorHAnsi"/>
        </w:rPr>
        <w:t>V</w:t>
      </w:r>
      <w:r w:rsidRPr="00CF7B03">
        <w:rPr>
          <w:rFonts w:asciiTheme="minorHAnsi" w:hAnsiTheme="minorHAnsi" w:cstheme="minorHAnsi"/>
        </w:rPr>
        <w:t>yšší hodnoty znamenají nižší korupci</w:t>
      </w:r>
      <w:r w:rsidR="0010342D" w:rsidRPr="00CF7B03">
        <w:rPr>
          <w:rFonts w:asciiTheme="minorHAnsi" w:hAnsiTheme="minorHAnsi" w:cstheme="minorHAnsi"/>
        </w:rPr>
        <w:t>.</w:t>
      </w:r>
    </w:p>
    <w:p w:rsidR="00AC74CE" w:rsidRPr="00CF7B03" w:rsidRDefault="00615230" w:rsidP="00C56335">
      <w:pPr>
        <w:spacing w:after="120"/>
        <w:rPr>
          <w:rFonts w:asciiTheme="minorHAnsi" w:hAnsiTheme="minorHAnsi" w:cstheme="minorHAnsi"/>
          <w:b/>
          <w:bCs/>
        </w:rPr>
      </w:pPr>
      <w:r w:rsidRPr="00CF7B03">
        <w:rPr>
          <w:rFonts w:asciiTheme="minorHAnsi" w:hAnsiTheme="minorHAnsi" w:cstheme="minorHAnsi"/>
          <w:b/>
          <w:bCs/>
        </w:rPr>
        <w:lastRenderedPageBreak/>
        <w:t>4</w:t>
      </w:r>
      <w:r w:rsidR="0010342D" w:rsidRPr="00CF7B03">
        <w:rPr>
          <w:rFonts w:asciiTheme="minorHAnsi" w:hAnsiTheme="minorHAnsi" w:cstheme="minorHAnsi"/>
          <w:b/>
          <w:bCs/>
        </w:rPr>
        <w:t>)</w:t>
      </w:r>
      <w:r w:rsidR="00AC74CE" w:rsidRPr="00CF7B03">
        <w:rPr>
          <w:rFonts w:asciiTheme="minorHAnsi" w:hAnsiTheme="minorHAnsi" w:cstheme="minorHAnsi"/>
          <w:b/>
          <w:bCs/>
        </w:rPr>
        <w:t xml:space="preserve"> </w:t>
      </w:r>
      <w:r w:rsidR="006F6933" w:rsidRPr="00CF7B03">
        <w:rPr>
          <w:rFonts w:asciiTheme="minorHAnsi" w:hAnsiTheme="minorHAnsi" w:cstheme="minorHAnsi"/>
          <w:b/>
          <w:bCs/>
        </w:rPr>
        <w:t>V</w:t>
      </w:r>
      <w:r w:rsidR="00AC74CE" w:rsidRPr="00CF7B03">
        <w:rPr>
          <w:rFonts w:asciiTheme="minorHAnsi" w:hAnsiTheme="minorHAnsi" w:cstheme="minorHAnsi"/>
          <w:b/>
          <w:bCs/>
        </w:rPr>
        <w:t>yhodnocení výsledků</w:t>
      </w:r>
    </w:p>
    <w:p w:rsidR="00615230" w:rsidRPr="00CF7B03" w:rsidRDefault="00615230" w:rsidP="00615230">
      <w:pPr>
        <w:numPr>
          <w:ilvl w:val="0"/>
          <w:numId w:val="7"/>
        </w:numPr>
        <w:spacing w:after="120"/>
        <w:rPr>
          <w:rFonts w:asciiTheme="minorHAnsi" w:hAnsiTheme="minorHAnsi" w:cstheme="minorHAnsi"/>
        </w:rPr>
      </w:pPr>
      <w:r w:rsidRPr="00CF7B03">
        <w:rPr>
          <w:rFonts w:asciiTheme="minorHAnsi" w:hAnsiTheme="minorHAnsi" w:cstheme="minorHAnsi"/>
        </w:rPr>
        <w:t xml:space="preserve">Komparativní analýza výsledků výpočtu daňové mezery DPH v ČR s výsledky jiných studií PWC, CASE, </w:t>
      </w:r>
      <w:proofErr w:type="spellStart"/>
      <w:r w:rsidRPr="00CF7B03">
        <w:rPr>
          <w:rFonts w:asciiTheme="minorHAnsi" w:hAnsiTheme="minorHAnsi" w:cstheme="minorHAnsi"/>
        </w:rPr>
        <w:t>Reckon</w:t>
      </w:r>
      <w:proofErr w:type="spellEnd"/>
      <w:r w:rsidRPr="00CF7B03">
        <w:rPr>
          <w:rFonts w:asciiTheme="minorHAnsi" w:hAnsiTheme="minorHAnsi" w:cstheme="minorHAnsi"/>
        </w:rPr>
        <w:t xml:space="preserve"> (2009).</w:t>
      </w:r>
    </w:p>
    <w:p w:rsidR="00615230" w:rsidRPr="00CF7B03" w:rsidRDefault="00615230" w:rsidP="00C56335">
      <w:pPr>
        <w:numPr>
          <w:ilvl w:val="0"/>
          <w:numId w:val="7"/>
        </w:numPr>
        <w:spacing w:after="120"/>
        <w:rPr>
          <w:rFonts w:asciiTheme="minorHAnsi" w:hAnsiTheme="minorHAnsi" w:cstheme="minorHAnsi"/>
        </w:rPr>
      </w:pPr>
      <w:r w:rsidRPr="00CF7B03">
        <w:rPr>
          <w:rFonts w:asciiTheme="minorHAnsi" w:hAnsiTheme="minorHAnsi" w:cstheme="minorHAnsi"/>
        </w:rPr>
        <w:t>K</w:t>
      </w:r>
      <w:r w:rsidR="00AC74CE" w:rsidRPr="00CF7B03">
        <w:rPr>
          <w:rFonts w:asciiTheme="minorHAnsi" w:hAnsiTheme="minorHAnsi" w:cstheme="minorHAnsi"/>
        </w:rPr>
        <w:t xml:space="preserve">omparativní analýza – srovnání </w:t>
      </w:r>
      <w:r w:rsidRPr="00CF7B03">
        <w:rPr>
          <w:rFonts w:asciiTheme="minorHAnsi" w:hAnsiTheme="minorHAnsi" w:cstheme="minorHAnsi"/>
        </w:rPr>
        <w:t xml:space="preserve">závěrů ekonometrické analýzy </w:t>
      </w:r>
      <w:r w:rsidR="00AC74CE" w:rsidRPr="00CF7B03">
        <w:rPr>
          <w:rFonts w:asciiTheme="minorHAnsi" w:hAnsiTheme="minorHAnsi" w:cstheme="minorHAnsi"/>
        </w:rPr>
        <w:t>s výsledky dalších autorů</w:t>
      </w:r>
    </w:p>
    <w:p w:rsidR="00AC74CE" w:rsidRPr="00CF7B03" w:rsidRDefault="00615230" w:rsidP="00C56335">
      <w:pPr>
        <w:numPr>
          <w:ilvl w:val="0"/>
          <w:numId w:val="7"/>
        </w:numPr>
        <w:spacing w:after="120"/>
        <w:rPr>
          <w:rFonts w:asciiTheme="minorHAnsi" w:hAnsiTheme="minorHAnsi" w:cstheme="minorHAnsi"/>
        </w:rPr>
      </w:pPr>
      <w:r w:rsidRPr="00CF7B03">
        <w:rPr>
          <w:rFonts w:asciiTheme="minorHAnsi" w:hAnsiTheme="minorHAnsi" w:cstheme="minorHAnsi"/>
        </w:rPr>
        <w:t>F</w:t>
      </w:r>
      <w:r w:rsidR="00BC1BC7" w:rsidRPr="00CF7B03">
        <w:rPr>
          <w:rFonts w:asciiTheme="minorHAnsi" w:hAnsiTheme="minorHAnsi" w:cstheme="minorHAnsi"/>
        </w:rPr>
        <w:t>ormulace odpovědí na výzkumné otázky, vyhodnocení správnosti hypotéz, vyhodnocení míry splnění cílů práce</w:t>
      </w:r>
    </w:p>
    <w:p w:rsidR="00F437D2" w:rsidRPr="00CF7B03" w:rsidRDefault="00F437D2">
      <w:pPr>
        <w:rPr>
          <w:rFonts w:asciiTheme="minorHAnsi" w:hAnsiTheme="minorHAnsi" w:cstheme="minorHAnsi"/>
          <w:b/>
          <w:bCs/>
        </w:rPr>
      </w:pPr>
    </w:p>
    <w:p w:rsidR="00F437D2" w:rsidRPr="00CF7B03" w:rsidRDefault="00F437D2">
      <w:pPr>
        <w:rPr>
          <w:rFonts w:asciiTheme="minorHAnsi" w:hAnsiTheme="minorHAnsi" w:cstheme="minorHAnsi"/>
          <w:b/>
          <w:bCs/>
        </w:rPr>
      </w:pPr>
    </w:p>
    <w:p w:rsidR="00AC74CE" w:rsidRPr="00CF7B03" w:rsidRDefault="00AC74CE" w:rsidP="0010342D">
      <w:pPr>
        <w:pStyle w:val="Nadpis2"/>
        <w:rPr>
          <w:rFonts w:asciiTheme="minorHAnsi" w:hAnsiTheme="minorHAnsi" w:cstheme="minorHAnsi"/>
          <w:b/>
        </w:rPr>
      </w:pPr>
      <w:r w:rsidRPr="00CF7B03">
        <w:rPr>
          <w:rFonts w:asciiTheme="minorHAnsi" w:hAnsiTheme="minorHAnsi" w:cstheme="minorHAnsi"/>
          <w:b/>
        </w:rPr>
        <w:t>Charakteristika metod</w:t>
      </w:r>
    </w:p>
    <w:p w:rsidR="00AC74CE" w:rsidRPr="00CF7B03" w:rsidRDefault="00777BD4" w:rsidP="00F437D2">
      <w:pPr>
        <w:spacing w:after="240"/>
        <w:rPr>
          <w:rFonts w:asciiTheme="minorHAnsi" w:hAnsiTheme="minorHAnsi" w:cstheme="minorHAnsi"/>
        </w:rPr>
      </w:pPr>
      <w:r w:rsidRPr="00CF7B03">
        <w:rPr>
          <w:rFonts w:asciiTheme="minorHAnsi" w:hAnsiTheme="minorHAnsi" w:cstheme="minorHAnsi"/>
        </w:rPr>
        <w:t>K</w:t>
      </w:r>
      <w:r w:rsidR="00F437D2" w:rsidRPr="00CF7B03">
        <w:rPr>
          <w:rFonts w:asciiTheme="minorHAnsi" w:hAnsiTheme="minorHAnsi" w:cstheme="minorHAnsi"/>
        </w:rPr>
        <w:t>e z</w:t>
      </w:r>
      <w:r w:rsidRPr="00CF7B03">
        <w:rPr>
          <w:rFonts w:asciiTheme="minorHAnsi" w:hAnsiTheme="minorHAnsi" w:cstheme="minorHAnsi"/>
        </w:rPr>
        <w:t>koumání výzkumného předmětu, k realizaci stanovených cílů a zodpovězení výzkumných otázek budou použity tyto obecně vědní a speciálně vědní metody:</w:t>
      </w:r>
    </w:p>
    <w:p w:rsidR="00AC74CE" w:rsidRPr="00CF7B03" w:rsidRDefault="00F04B7C" w:rsidP="00B53BE1">
      <w:pPr>
        <w:spacing w:after="120"/>
        <w:rPr>
          <w:rFonts w:asciiTheme="minorHAnsi" w:hAnsiTheme="minorHAnsi" w:cstheme="minorHAnsi"/>
          <w:b/>
          <w:bCs/>
        </w:rPr>
      </w:pPr>
      <w:r w:rsidRPr="00CF7B03">
        <w:rPr>
          <w:rFonts w:asciiTheme="minorHAnsi" w:hAnsiTheme="minorHAnsi" w:cstheme="minorHAnsi"/>
          <w:b/>
          <w:bCs/>
        </w:rPr>
        <w:t>1</w:t>
      </w:r>
      <w:r w:rsidR="0010342D" w:rsidRPr="00CF7B03">
        <w:rPr>
          <w:rFonts w:asciiTheme="minorHAnsi" w:hAnsiTheme="minorHAnsi" w:cstheme="minorHAnsi"/>
          <w:b/>
          <w:bCs/>
        </w:rPr>
        <w:t>)</w:t>
      </w:r>
      <w:r w:rsidRPr="00CF7B03">
        <w:rPr>
          <w:rFonts w:asciiTheme="minorHAnsi" w:hAnsiTheme="minorHAnsi" w:cstheme="minorHAnsi"/>
          <w:b/>
          <w:bCs/>
        </w:rPr>
        <w:t xml:space="preserve"> </w:t>
      </w:r>
      <w:r w:rsidR="0010342D" w:rsidRPr="00CF7B03">
        <w:rPr>
          <w:rFonts w:asciiTheme="minorHAnsi" w:hAnsiTheme="minorHAnsi" w:cstheme="minorHAnsi"/>
          <w:b/>
          <w:bCs/>
        </w:rPr>
        <w:t>O</w:t>
      </w:r>
      <w:r w:rsidR="00AC74CE" w:rsidRPr="00CF7B03">
        <w:rPr>
          <w:rFonts w:asciiTheme="minorHAnsi" w:hAnsiTheme="minorHAnsi" w:cstheme="minorHAnsi"/>
          <w:b/>
          <w:bCs/>
        </w:rPr>
        <w:t>becně vědní metody</w:t>
      </w:r>
      <w:r w:rsidR="00777BD4" w:rsidRPr="00CF7B03">
        <w:rPr>
          <w:rFonts w:asciiTheme="minorHAnsi" w:hAnsiTheme="minorHAnsi" w:cstheme="minorHAnsi"/>
          <w:b/>
          <w:bCs/>
        </w:rPr>
        <w:t xml:space="preserve"> </w:t>
      </w:r>
    </w:p>
    <w:p w:rsidR="00CD4B6F" w:rsidRPr="00CF7B03" w:rsidRDefault="00777BD4" w:rsidP="00966817">
      <w:pPr>
        <w:spacing w:after="120"/>
        <w:rPr>
          <w:rFonts w:asciiTheme="minorHAnsi" w:hAnsiTheme="minorHAnsi" w:cstheme="minorHAnsi"/>
        </w:rPr>
      </w:pPr>
      <w:r w:rsidRPr="00CF7B03">
        <w:rPr>
          <w:rFonts w:asciiTheme="minorHAnsi" w:hAnsiTheme="minorHAnsi" w:cstheme="minorHAnsi"/>
        </w:rPr>
        <w:t>Metoda analýzy</w:t>
      </w:r>
      <w:r w:rsidR="00966817" w:rsidRPr="00CF7B03">
        <w:rPr>
          <w:rFonts w:asciiTheme="minorHAnsi" w:hAnsiTheme="minorHAnsi" w:cstheme="minorHAnsi"/>
        </w:rPr>
        <w:t xml:space="preserve"> </w:t>
      </w:r>
      <w:r w:rsidR="00615230" w:rsidRPr="00CF7B03">
        <w:rPr>
          <w:rFonts w:asciiTheme="minorHAnsi" w:hAnsiTheme="minorHAnsi" w:cstheme="minorHAnsi"/>
        </w:rPr>
        <w:t xml:space="preserve">pravidel uplatňování DPH a jejich vlivu na </w:t>
      </w:r>
      <w:r w:rsidR="00A04557" w:rsidRPr="00CF7B03">
        <w:rPr>
          <w:rFonts w:asciiTheme="minorHAnsi" w:hAnsiTheme="minorHAnsi" w:cstheme="minorHAnsi"/>
        </w:rPr>
        <w:t xml:space="preserve">výši DPH vstupující do teoretické daňové povinnosti v české ekonomice </w:t>
      </w:r>
      <w:r w:rsidR="00966817" w:rsidRPr="00CF7B03">
        <w:rPr>
          <w:rFonts w:asciiTheme="minorHAnsi" w:hAnsiTheme="minorHAnsi" w:cstheme="minorHAnsi"/>
        </w:rPr>
        <w:t xml:space="preserve">bude použita </w:t>
      </w:r>
      <w:r w:rsidR="00615230" w:rsidRPr="00CF7B03">
        <w:rPr>
          <w:rFonts w:asciiTheme="minorHAnsi" w:hAnsiTheme="minorHAnsi" w:cstheme="minorHAnsi"/>
        </w:rPr>
        <w:t>při úpravě metody výpočtu teoretické daňové povinnosti</w:t>
      </w:r>
      <w:r w:rsidR="00A04557" w:rsidRPr="00CF7B03">
        <w:rPr>
          <w:rFonts w:asciiTheme="minorHAnsi" w:hAnsiTheme="minorHAnsi" w:cstheme="minorHAnsi"/>
        </w:rPr>
        <w:t>. O</w:t>
      </w:r>
      <w:r w:rsidRPr="00CF7B03">
        <w:rPr>
          <w:rFonts w:asciiTheme="minorHAnsi" w:hAnsiTheme="minorHAnsi" w:cstheme="minorHAnsi"/>
        </w:rPr>
        <w:t>bsahové analýzy pramenných zdrojů</w:t>
      </w:r>
      <w:r w:rsidR="00A04557" w:rsidRPr="00CF7B03">
        <w:rPr>
          <w:rFonts w:asciiTheme="minorHAnsi" w:hAnsiTheme="minorHAnsi" w:cstheme="minorHAnsi"/>
        </w:rPr>
        <w:t xml:space="preserve"> bude využito při tvorbě hypotéz o vlivu jednotlivých zvolených </w:t>
      </w:r>
      <w:r w:rsidR="00714FDE" w:rsidRPr="00CF7B03">
        <w:rPr>
          <w:rFonts w:asciiTheme="minorHAnsi" w:hAnsiTheme="minorHAnsi" w:cstheme="minorHAnsi"/>
        </w:rPr>
        <w:t>proměnných</w:t>
      </w:r>
      <w:r w:rsidR="00A04557" w:rsidRPr="00CF7B03">
        <w:rPr>
          <w:rFonts w:asciiTheme="minorHAnsi" w:hAnsiTheme="minorHAnsi" w:cstheme="minorHAnsi"/>
        </w:rPr>
        <w:t xml:space="preserve"> na daňovou mezeru. </w:t>
      </w:r>
    </w:p>
    <w:p w:rsidR="00CD4B6F" w:rsidRPr="00CF7B03" w:rsidRDefault="00777BD4" w:rsidP="00480F3B">
      <w:pPr>
        <w:spacing w:after="120"/>
        <w:rPr>
          <w:rFonts w:asciiTheme="minorHAnsi" w:hAnsiTheme="minorHAnsi" w:cstheme="minorHAnsi"/>
        </w:rPr>
      </w:pPr>
      <w:r w:rsidRPr="00CF7B03">
        <w:rPr>
          <w:rFonts w:asciiTheme="minorHAnsi" w:hAnsiTheme="minorHAnsi" w:cstheme="minorHAnsi"/>
        </w:rPr>
        <w:t xml:space="preserve">Metoda syntézy bude </w:t>
      </w:r>
      <w:r w:rsidR="00714FDE" w:rsidRPr="00CF7B03">
        <w:rPr>
          <w:rFonts w:asciiTheme="minorHAnsi" w:hAnsiTheme="minorHAnsi" w:cstheme="minorHAnsi"/>
        </w:rPr>
        <w:t>aplikována v závěru práce</w:t>
      </w:r>
      <w:r w:rsidRPr="00CF7B03">
        <w:rPr>
          <w:rFonts w:asciiTheme="minorHAnsi" w:hAnsiTheme="minorHAnsi" w:cstheme="minorHAnsi"/>
        </w:rPr>
        <w:t xml:space="preserve">. </w:t>
      </w:r>
    </w:p>
    <w:p w:rsidR="00CD4B6F" w:rsidRPr="00CF7B03" w:rsidRDefault="00777BD4" w:rsidP="00CD4B6F">
      <w:pPr>
        <w:spacing w:after="120"/>
        <w:rPr>
          <w:rFonts w:asciiTheme="minorHAnsi" w:hAnsiTheme="minorHAnsi" w:cstheme="minorHAnsi"/>
        </w:rPr>
      </w:pPr>
      <w:r w:rsidRPr="00CF7B03">
        <w:rPr>
          <w:rFonts w:asciiTheme="minorHAnsi" w:hAnsiTheme="minorHAnsi" w:cstheme="minorHAnsi"/>
        </w:rPr>
        <w:t xml:space="preserve">Metoda komparace </w:t>
      </w:r>
      <w:r w:rsidR="007C3B95" w:rsidRPr="00CF7B03">
        <w:rPr>
          <w:rFonts w:asciiTheme="minorHAnsi" w:hAnsiTheme="minorHAnsi" w:cstheme="minorHAnsi"/>
        </w:rPr>
        <w:t xml:space="preserve">a specifikace </w:t>
      </w:r>
      <w:r w:rsidRPr="00CF7B03">
        <w:rPr>
          <w:rFonts w:asciiTheme="minorHAnsi" w:hAnsiTheme="minorHAnsi" w:cstheme="minorHAnsi"/>
        </w:rPr>
        <w:t>bude využita pro srovnání výsledků</w:t>
      </w:r>
      <w:r w:rsidR="005B2308" w:rsidRPr="00CF7B03">
        <w:rPr>
          <w:rFonts w:asciiTheme="minorHAnsi" w:hAnsiTheme="minorHAnsi" w:cstheme="minorHAnsi"/>
        </w:rPr>
        <w:t>,</w:t>
      </w:r>
      <w:r w:rsidRPr="00CF7B03">
        <w:rPr>
          <w:rFonts w:asciiTheme="minorHAnsi" w:hAnsiTheme="minorHAnsi" w:cstheme="minorHAnsi"/>
        </w:rPr>
        <w:t xml:space="preserve"> </w:t>
      </w:r>
      <w:r w:rsidR="00A04557" w:rsidRPr="00CF7B03">
        <w:rPr>
          <w:rFonts w:asciiTheme="minorHAnsi" w:hAnsiTheme="minorHAnsi" w:cstheme="minorHAnsi"/>
        </w:rPr>
        <w:t xml:space="preserve">jak ve výpočtu mezery DPH, tak ekonometrické analýzy, </w:t>
      </w:r>
      <w:r w:rsidRPr="00CF7B03">
        <w:rPr>
          <w:rFonts w:asciiTheme="minorHAnsi" w:hAnsiTheme="minorHAnsi" w:cstheme="minorHAnsi"/>
        </w:rPr>
        <w:t xml:space="preserve">se závěry dalších autorů. </w:t>
      </w:r>
    </w:p>
    <w:p w:rsidR="00327C28" w:rsidRPr="00CF7B03" w:rsidRDefault="00327C28" w:rsidP="00327C28">
      <w:pPr>
        <w:spacing w:after="120"/>
        <w:rPr>
          <w:rFonts w:asciiTheme="minorHAnsi" w:hAnsiTheme="minorHAnsi" w:cstheme="minorHAnsi"/>
        </w:rPr>
      </w:pPr>
      <w:r w:rsidRPr="00CF7B03">
        <w:rPr>
          <w:rFonts w:asciiTheme="minorHAnsi" w:hAnsiTheme="minorHAnsi" w:cstheme="minorHAnsi"/>
        </w:rPr>
        <w:t xml:space="preserve">Metoda generalizace bude použita k zobecnění výsledků regresní analýzy. </w:t>
      </w:r>
    </w:p>
    <w:p w:rsidR="00CD4B6F" w:rsidRPr="00CF7B03" w:rsidRDefault="00CD4B6F" w:rsidP="00CD4B6F">
      <w:pPr>
        <w:spacing w:after="120"/>
        <w:rPr>
          <w:rFonts w:asciiTheme="minorHAnsi" w:hAnsiTheme="minorHAnsi" w:cstheme="minorHAnsi"/>
        </w:rPr>
      </w:pPr>
      <w:r w:rsidRPr="00CF7B03">
        <w:rPr>
          <w:rFonts w:asciiTheme="minorHAnsi" w:hAnsiTheme="minorHAnsi" w:cstheme="minorHAnsi"/>
        </w:rPr>
        <w:t>Metoda neúplné indukce bude použita p</w:t>
      </w:r>
      <w:r w:rsidR="00772142" w:rsidRPr="00CF7B03">
        <w:rPr>
          <w:rFonts w:asciiTheme="minorHAnsi" w:hAnsiTheme="minorHAnsi" w:cstheme="minorHAnsi"/>
        </w:rPr>
        <w:t>ři analýze dat a zobecňování závěrů</w:t>
      </w:r>
      <w:r w:rsidRPr="00CF7B03">
        <w:rPr>
          <w:rFonts w:asciiTheme="minorHAnsi" w:hAnsiTheme="minorHAnsi" w:cstheme="minorHAnsi"/>
        </w:rPr>
        <w:t>.</w:t>
      </w:r>
    </w:p>
    <w:p w:rsidR="00FE3DA4" w:rsidRPr="00CF7B03" w:rsidRDefault="00B22D95" w:rsidP="00B22D95">
      <w:pPr>
        <w:spacing w:after="120"/>
        <w:rPr>
          <w:rFonts w:asciiTheme="minorHAnsi" w:hAnsiTheme="minorHAnsi" w:cstheme="minorHAnsi"/>
        </w:rPr>
      </w:pPr>
      <w:r w:rsidRPr="00CF7B03">
        <w:rPr>
          <w:rFonts w:asciiTheme="minorHAnsi" w:hAnsiTheme="minorHAnsi" w:cstheme="minorHAnsi"/>
        </w:rPr>
        <w:t>Metoda dedukce bude využita p</w:t>
      </w:r>
      <w:r w:rsidR="007C3B95" w:rsidRPr="00CF7B03">
        <w:rPr>
          <w:rFonts w:asciiTheme="minorHAnsi" w:hAnsiTheme="minorHAnsi" w:cstheme="minorHAnsi"/>
        </w:rPr>
        <w:t xml:space="preserve">ro logické vyvozování závěrů z existujících </w:t>
      </w:r>
      <w:r w:rsidR="00A04557" w:rsidRPr="00CF7B03">
        <w:rPr>
          <w:rFonts w:asciiTheme="minorHAnsi" w:hAnsiTheme="minorHAnsi" w:cstheme="minorHAnsi"/>
        </w:rPr>
        <w:t>empirických prací</w:t>
      </w:r>
      <w:r w:rsidR="007C3B95" w:rsidRPr="00CF7B03">
        <w:rPr>
          <w:rFonts w:asciiTheme="minorHAnsi" w:hAnsiTheme="minorHAnsi" w:cstheme="minorHAnsi"/>
        </w:rPr>
        <w:t xml:space="preserve"> a pro formulaci výzkumných otázek a hyp</w:t>
      </w:r>
      <w:r w:rsidRPr="00CF7B03">
        <w:rPr>
          <w:rFonts w:asciiTheme="minorHAnsi" w:hAnsiTheme="minorHAnsi" w:cstheme="minorHAnsi"/>
        </w:rPr>
        <w:t>otéz</w:t>
      </w:r>
      <w:r w:rsidR="007C3B95" w:rsidRPr="00CF7B03">
        <w:rPr>
          <w:rFonts w:asciiTheme="minorHAnsi" w:hAnsiTheme="minorHAnsi" w:cstheme="minorHAnsi"/>
        </w:rPr>
        <w:t xml:space="preserve">. </w:t>
      </w:r>
    </w:p>
    <w:p w:rsidR="00AC74CE" w:rsidRPr="00CF7B03" w:rsidRDefault="00F04B7C" w:rsidP="00B53BE1">
      <w:pPr>
        <w:spacing w:after="120"/>
        <w:rPr>
          <w:rFonts w:asciiTheme="minorHAnsi" w:hAnsiTheme="minorHAnsi" w:cstheme="minorHAnsi"/>
          <w:b/>
          <w:bCs/>
        </w:rPr>
      </w:pPr>
      <w:r w:rsidRPr="00CF7B03">
        <w:rPr>
          <w:rFonts w:asciiTheme="minorHAnsi" w:hAnsiTheme="minorHAnsi" w:cstheme="minorHAnsi"/>
          <w:b/>
          <w:bCs/>
        </w:rPr>
        <w:t>2</w:t>
      </w:r>
      <w:r w:rsidR="0010342D" w:rsidRPr="00CF7B03">
        <w:rPr>
          <w:rFonts w:asciiTheme="minorHAnsi" w:hAnsiTheme="minorHAnsi" w:cstheme="minorHAnsi"/>
          <w:b/>
          <w:bCs/>
        </w:rPr>
        <w:t>)</w:t>
      </w:r>
      <w:r w:rsidRPr="00CF7B03">
        <w:rPr>
          <w:rFonts w:asciiTheme="minorHAnsi" w:hAnsiTheme="minorHAnsi" w:cstheme="minorHAnsi"/>
          <w:b/>
          <w:bCs/>
        </w:rPr>
        <w:t xml:space="preserve"> </w:t>
      </w:r>
      <w:r w:rsidR="0010342D" w:rsidRPr="00CF7B03">
        <w:rPr>
          <w:rFonts w:asciiTheme="minorHAnsi" w:hAnsiTheme="minorHAnsi" w:cstheme="minorHAnsi"/>
          <w:b/>
          <w:bCs/>
        </w:rPr>
        <w:t>S</w:t>
      </w:r>
      <w:r w:rsidR="00AC74CE" w:rsidRPr="00CF7B03">
        <w:rPr>
          <w:rFonts w:asciiTheme="minorHAnsi" w:hAnsiTheme="minorHAnsi" w:cstheme="minorHAnsi"/>
          <w:b/>
          <w:bCs/>
        </w:rPr>
        <w:t>peciálně vědní metody</w:t>
      </w:r>
    </w:p>
    <w:p w:rsidR="00AC74CE" w:rsidRPr="00CF7B03" w:rsidRDefault="007C3B95" w:rsidP="002F4BBD">
      <w:pPr>
        <w:rPr>
          <w:rFonts w:asciiTheme="minorHAnsi" w:hAnsiTheme="minorHAnsi" w:cstheme="minorHAnsi"/>
        </w:rPr>
      </w:pPr>
      <w:r w:rsidRPr="00CF7B03">
        <w:rPr>
          <w:rFonts w:asciiTheme="minorHAnsi" w:hAnsiTheme="minorHAnsi" w:cstheme="minorHAnsi"/>
        </w:rPr>
        <w:t>Ze speciá</w:t>
      </w:r>
      <w:r w:rsidR="002F4BBD" w:rsidRPr="00CF7B03">
        <w:rPr>
          <w:rFonts w:asciiTheme="minorHAnsi" w:hAnsiTheme="minorHAnsi" w:cstheme="minorHAnsi"/>
        </w:rPr>
        <w:t>lně vědních metod budou použity e</w:t>
      </w:r>
      <w:r w:rsidR="00AC74CE" w:rsidRPr="00CF7B03">
        <w:rPr>
          <w:rFonts w:asciiTheme="minorHAnsi" w:hAnsiTheme="minorHAnsi" w:cstheme="minorHAnsi"/>
        </w:rPr>
        <w:t xml:space="preserve">konometrické metody </w:t>
      </w:r>
      <w:r w:rsidR="002F4BBD" w:rsidRPr="00CF7B03">
        <w:rPr>
          <w:rFonts w:asciiTheme="minorHAnsi" w:hAnsiTheme="minorHAnsi" w:cstheme="minorHAnsi"/>
        </w:rPr>
        <w:t xml:space="preserve">(lineární regrese, panelová </w:t>
      </w:r>
      <w:r w:rsidR="00AC74CE" w:rsidRPr="00CF7B03">
        <w:rPr>
          <w:rFonts w:asciiTheme="minorHAnsi" w:hAnsiTheme="minorHAnsi" w:cstheme="minorHAnsi"/>
        </w:rPr>
        <w:t>regrese, analýza časových řad</w:t>
      </w:r>
      <w:r w:rsidR="002F4BBD" w:rsidRPr="00CF7B03">
        <w:rPr>
          <w:rFonts w:asciiTheme="minorHAnsi" w:hAnsiTheme="minorHAnsi" w:cstheme="minorHAnsi"/>
        </w:rPr>
        <w:t>), s</w:t>
      </w:r>
      <w:r w:rsidR="00AC74CE" w:rsidRPr="00CF7B03">
        <w:rPr>
          <w:rFonts w:asciiTheme="minorHAnsi" w:hAnsiTheme="minorHAnsi" w:cstheme="minorHAnsi"/>
        </w:rPr>
        <w:t xml:space="preserve">tatistické metody </w:t>
      </w:r>
      <w:r w:rsidR="002F4BBD" w:rsidRPr="00CF7B03">
        <w:rPr>
          <w:rFonts w:asciiTheme="minorHAnsi" w:hAnsiTheme="minorHAnsi" w:cstheme="minorHAnsi"/>
        </w:rPr>
        <w:t>(</w:t>
      </w:r>
      <w:r w:rsidR="00AC74CE" w:rsidRPr="00CF7B03">
        <w:rPr>
          <w:rFonts w:asciiTheme="minorHAnsi" w:hAnsiTheme="minorHAnsi" w:cstheme="minorHAnsi"/>
        </w:rPr>
        <w:t xml:space="preserve">korelační analýza, charakteristiky úrovně, </w:t>
      </w:r>
      <w:r w:rsidR="002F4BBD" w:rsidRPr="00CF7B03">
        <w:rPr>
          <w:rFonts w:asciiTheme="minorHAnsi" w:hAnsiTheme="minorHAnsi" w:cstheme="minorHAnsi"/>
        </w:rPr>
        <w:t>c</w:t>
      </w:r>
      <w:r w:rsidR="00AC74CE" w:rsidRPr="00CF7B03">
        <w:rPr>
          <w:rFonts w:asciiTheme="minorHAnsi" w:hAnsiTheme="minorHAnsi" w:cstheme="minorHAnsi"/>
        </w:rPr>
        <w:t>harakteristik</w:t>
      </w:r>
      <w:r w:rsidR="009503C9" w:rsidRPr="00CF7B03">
        <w:rPr>
          <w:rFonts w:asciiTheme="minorHAnsi" w:hAnsiTheme="minorHAnsi" w:cstheme="minorHAnsi"/>
        </w:rPr>
        <w:t xml:space="preserve">y </w:t>
      </w:r>
      <w:r w:rsidR="00AC74CE" w:rsidRPr="00CF7B03">
        <w:rPr>
          <w:rFonts w:asciiTheme="minorHAnsi" w:hAnsiTheme="minorHAnsi" w:cstheme="minorHAnsi"/>
        </w:rPr>
        <w:t>variability</w:t>
      </w:r>
      <w:r w:rsidR="002F4BBD" w:rsidRPr="00CF7B03">
        <w:rPr>
          <w:rFonts w:asciiTheme="minorHAnsi" w:hAnsiTheme="minorHAnsi" w:cstheme="minorHAnsi"/>
        </w:rPr>
        <w:t>).</w:t>
      </w:r>
    </w:p>
    <w:p w:rsidR="00AC74CE" w:rsidRPr="00CF7B03" w:rsidRDefault="0010342D" w:rsidP="0010342D">
      <w:pPr>
        <w:pStyle w:val="Nadpis2"/>
        <w:rPr>
          <w:rFonts w:asciiTheme="minorHAnsi" w:hAnsiTheme="minorHAnsi" w:cstheme="minorHAnsi"/>
          <w:b/>
        </w:rPr>
      </w:pPr>
      <w:r w:rsidRPr="00CF7B03">
        <w:rPr>
          <w:rFonts w:asciiTheme="minorHAnsi" w:hAnsiTheme="minorHAnsi" w:cstheme="minorHAnsi"/>
        </w:rPr>
        <w:br w:type="page"/>
      </w:r>
      <w:r w:rsidR="00AC74CE" w:rsidRPr="00CF7B03">
        <w:rPr>
          <w:rFonts w:asciiTheme="minorHAnsi" w:hAnsiTheme="minorHAnsi" w:cstheme="minorHAnsi"/>
          <w:b/>
        </w:rPr>
        <w:lastRenderedPageBreak/>
        <w:t>Předběžná osnova</w:t>
      </w:r>
    </w:p>
    <w:p w:rsidR="0010342D" w:rsidRPr="00CF7B03" w:rsidRDefault="0010342D">
      <w:pPr>
        <w:rPr>
          <w:rFonts w:asciiTheme="minorHAnsi" w:hAnsiTheme="minorHAnsi" w:cstheme="minorHAnsi"/>
          <w:b/>
          <w:bCs/>
        </w:rPr>
      </w:pPr>
    </w:p>
    <w:p w:rsidR="00AC74CE" w:rsidRPr="00CF7B03" w:rsidRDefault="00AC74CE">
      <w:pPr>
        <w:rPr>
          <w:rFonts w:asciiTheme="minorHAnsi" w:hAnsiTheme="minorHAnsi" w:cstheme="minorHAnsi"/>
          <w:b/>
          <w:bCs/>
        </w:rPr>
      </w:pPr>
      <w:r w:rsidRPr="00CF7B03">
        <w:rPr>
          <w:rFonts w:asciiTheme="minorHAnsi" w:hAnsiTheme="minorHAnsi" w:cstheme="minorHAnsi"/>
          <w:b/>
          <w:bCs/>
        </w:rPr>
        <w:t>1</w:t>
      </w:r>
      <w:r w:rsidRPr="00CF7B03">
        <w:rPr>
          <w:rFonts w:asciiTheme="minorHAnsi" w:hAnsiTheme="minorHAnsi" w:cstheme="minorHAnsi"/>
          <w:b/>
          <w:bCs/>
        </w:rPr>
        <w:tab/>
        <w:t xml:space="preserve">Úvod </w:t>
      </w:r>
    </w:p>
    <w:p w:rsidR="00AC74CE" w:rsidRPr="00CF7B03" w:rsidRDefault="00AC74CE">
      <w:pPr>
        <w:rPr>
          <w:rFonts w:asciiTheme="minorHAnsi" w:hAnsiTheme="minorHAnsi" w:cstheme="minorHAnsi"/>
        </w:rPr>
      </w:pPr>
      <w:r w:rsidRPr="00CF7B03">
        <w:rPr>
          <w:rFonts w:asciiTheme="minorHAnsi" w:hAnsiTheme="minorHAnsi" w:cstheme="minorHAnsi"/>
          <w:b/>
          <w:bCs/>
        </w:rPr>
        <w:tab/>
      </w:r>
      <w:r w:rsidR="006F6933" w:rsidRPr="00CF7B03">
        <w:rPr>
          <w:rFonts w:asciiTheme="minorHAnsi" w:hAnsiTheme="minorHAnsi" w:cstheme="minorHAnsi"/>
        </w:rPr>
        <w:t>C</w:t>
      </w:r>
      <w:r w:rsidRPr="00CF7B03">
        <w:rPr>
          <w:rFonts w:asciiTheme="minorHAnsi" w:hAnsiTheme="minorHAnsi" w:cstheme="minorHAnsi"/>
        </w:rPr>
        <w:t xml:space="preserve">harakteristika problému, cíle, </w:t>
      </w:r>
      <w:r w:rsidR="007C3B95" w:rsidRPr="00CF7B03">
        <w:rPr>
          <w:rFonts w:asciiTheme="minorHAnsi" w:hAnsiTheme="minorHAnsi" w:cstheme="minorHAnsi"/>
        </w:rPr>
        <w:t xml:space="preserve">výzkumné otázky, </w:t>
      </w:r>
      <w:r w:rsidRPr="00CF7B03">
        <w:rPr>
          <w:rFonts w:asciiTheme="minorHAnsi" w:hAnsiTheme="minorHAnsi" w:cstheme="minorHAnsi"/>
        </w:rPr>
        <w:t>hypotézy, struktura práce</w:t>
      </w:r>
    </w:p>
    <w:p w:rsidR="00AC74CE" w:rsidRPr="00CF7B03" w:rsidRDefault="00AC74CE" w:rsidP="00062835">
      <w:pPr>
        <w:spacing w:before="120"/>
        <w:rPr>
          <w:rFonts w:asciiTheme="minorHAnsi" w:hAnsiTheme="minorHAnsi" w:cstheme="minorHAnsi"/>
          <w:b/>
          <w:bCs/>
        </w:rPr>
      </w:pPr>
      <w:r w:rsidRPr="00CF7B03">
        <w:rPr>
          <w:rFonts w:asciiTheme="minorHAnsi" w:hAnsiTheme="minorHAnsi" w:cstheme="minorHAnsi"/>
          <w:b/>
          <w:bCs/>
        </w:rPr>
        <w:t>2</w:t>
      </w:r>
      <w:r w:rsidRPr="00CF7B03">
        <w:rPr>
          <w:rFonts w:asciiTheme="minorHAnsi" w:hAnsiTheme="minorHAnsi" w:cstheme="minorHAnsi"/>
          <w:b/>
          <w:bCs/>
        </w:rPr>
        <w:tab/>
      </w:r>
      <w:r w:rsidR="00A04557" w:rsidRPr="00CF7B03">
        <w:rPr>
          <w:rFonts w:asciiTheme="minorHAnsi" w:hAnsiTheme="minorHAnsi" w:cstheme="minorHAnsi"/>
          <w:b/>
          <w:bCs/>
        </w:rPr>
        <w:t>Daňová mezera a daňové úniky</w:t>
      </w:r>
    </w:p>
    <w:p w:rsidR="00AC74CE" w:rsidRPr="00CF7B03" w:rsidRDefault="00AC74CE">
      <w:pPr>
        <w:rPr>
          <w:rFonts w:asciiTheme="minorHAnsi" w:hAnsiTheme="minorHAnsi" w:cstheme="minorHAnsi"/>
          <w:i/>
          <w:iCs/>
        </w:rPr>
      </w:pPr>
      <w:r w:rsidRPr="00CF7B03">
        <w:rPr>
          <w:rFonts w:asciiTheme="minorHAnsi" w:hAnsiTheme="minorHAnsi" w:cstheme="minorHAnsi"/>
          <w:i/>
          <w:iCs/>
        </w:rPr>
        <w:t>2.1</w:t>
      </w:r>
      <w:r w:rsidRPr="00CF7B03">
        <w:rPr>
          <w:rFonts w:asciiTheme="minorHAnsi" w:hAnsiTheme="minorHAnsi" w:cstheme="minorHAnsi"/>
          <w:i/>
          <w:iCs/>
        </w:rPr>
        <w:tab/>
      </w:r>
      <w:r w:rsidR="00A04557" w:rsidRPr="00CF7B03">
        <w:rPr>
          <w:rFonts w:asciiTheme="minorHAnsi" w:hAnsiTheme="minorHAnsi" w:cstheme="minorHAnsi"/>
          <w:i/>
          <w:iCs/>
        </w:rPr>
        <w:t>Definice daňových úniků a jejich nejčastější druhy v oblasti DPH</w:t>
      </w:r>
      <w:r w:rsidRPr="00CF7B03">
        <w:rPr>
          <w:rFonts w:asciiTheme="minorHAnsi" w:hAnsiTheme="minorHAnsi" w:cstheme="minorHAnsi"/>
          <w:i/>
          <w:iCs/>
        </w:rPr>
        <w:t xml:space="preserve"> </w:t>
      </w:r>
    </w:p>
    <w:p w:rsidR="00AC74CE" w:rsidRPr="00CF7B03" w:rsidRDefault="00AC74CE">
      <w:pPr>
        <w:rPr>
          <w:rFonts w:asciiTheme="minorHAnsi" w:hAnsiTheme="minorHAnsi" w:cstheme="minorHAnsi"/>
          <w:i/>
          <w:iCs/>
        </w:rPr>
      </w:pPr>
      <w:r w:rsidRPr="00CF7B03">
        <w:rPr>
          <w:rFonts w:asciiTheme="minorHAnsi" w:hAnsiTheme="minorHAnsi" w:cstheme="minorHAnsi"/>
          <w:i/>
          <w:iCs/>
        </w:rPr>
        <w:t>2.2</w:t>
      </w:r>
      <w:r w:rsidRPr="00CF7B03">
        <w:rPr>
          <w:rFonts w:asciiTheme="minorHAnsi" w:hAnsiTheme="minorHAnsi" w:cstheme="minorHAnsi"/>
          <w:i/>
          <w:iCs/>
        </w:rPr>
        <w:tab/>
        <w:t>Přehled literatury</w:t>
      </w:r>
    </w:p>
    <w:p w:rsidR="00AC74CE" w:rsidRPr="00CF7B03" w:rsidRDefault="00AC74CE">
      <w:pPr>
        <w:rPr>
          <w:rFonts w:asciiTheme="minorHAnsi" w:hAnsiTheme="minorHAnsi" w:cstheme="minorHAnsi"/>
          <w:i/>
          <w:iCs/>
        </w:rPr>
      </w:pPr>
      <w:r w:rsidRPr="00CF7B03">
        <w:rPr>
          <w:rFonts w:asciiTheme="minorHAnsi" w:hAnsiTheme="minorHAnsi" w:cstheme="minorHAnsi"/>
          <w:i/>
          <w:iCs/>
        </w:rPr>
        <w:t>2.3</w:t>
      </w:r>
      <w:r w:rsidRPr="00CF7B03">
        <w:rPr>
          <w:rFonts w:asciiTheme="minorHAnsi" w:hAnsiTheme="minorHAnsi" w:cstheme="minorHAnsi"/>
          <w:i/>
          <w:iCs/>
        </w:rPr>
        <w:tab/>
        <w:t>Analýza výsledků dosavadního empirického výzkumu</w:t>
      </w:r>
    </w:p>
    <w:p w:rsidR="0062760E" w:rsidRPr="00CF7B03" w:rsidRDefault="0062760E">
      <w:pPr>
        <w:rPr>
          <w:rFonts w:asciiTheme="minorHAnsi" w:hAnsiTheme="minorHAnsi" w:cstheme="minorHAnsi"/>
        </w:rPr>
      </w:pPr>
    </w:p>
    <w:p w:rsidR="0062760E" w:rsidRPr="00CF7B03" w:rsidRDefault="0062760E" w:rsidP="0062760E">
      <w:pPr>
        <w:spacing w:before="120"/>
        <w:rPr>
          <w:rFonts w:asciiTheme="minorHAnsi" w:hAnsiTheme="minorHAnsi" w:cstheme="minorHAnsi"/>
          <w:b/>
          <w:bCs/>
        </w:rPr>
      </w:pPr>
      <w:r w:rsidRPr="00CF7B03">
        <w:rPr>
          <w:rFonts w:asciiTheme="minorHAnsi" w:hAnsiTheme="minorHAnsi" w:cstheme="minorHAnsi"/>
          <w:b/>
          <w:bCs/>
        </w:rPr>
        <w:t>3</w:t>
      </w:r>
      <w:r w:rsidRPr="00CF7B03">
        <w:rPr>
          <w:rFonts w:asciiTheme="minorHAnsi" w:hAnsiTheme="minorHAnsi" w:cstheme="minorHAnsi"/>
          <w:b/>
          <w:bCs/>
        </w:rPr>
        <w:tab/>
        <w:t>Výpočet mezery DPH metodou národních účtů</w:t>
      </w:r>
    </w:p>
    <w:p w:rsidR="0062760E" w:rsidRPr="00CF7B03" w:rsidRDefault="0062760E" w:rsidP="0062760E">
      <w:pPr>
        <w:rPr>
          <w:rFonts w:asciiTheme="minorHAnsi" w:hAnsiTheme="minorHAnsi" w:cstheme="minorHAnsi"/>
          <w:i/>
          <w:iCs/>
        </w:rPr>
      </w:pPr>
      <w:r w:rsidRPr="00CF7B03">
        <w:rPr>
          <w:rFonts w:asciiTheme="minorHAnsi" w:hAnsiTheme="minorHAnsi" w:cstheme="minorHAnsi"/>
          <w:i/>
          <w:iCs/>
        </w:rPr>
        <w:t>3.1</w:t>
      </w:r>
      <w:r w:rsidRPr="00CF7B03">
        <w:rPr>
          <w:rFonts w:asciiTheme="minorHAnsi" w:hAnsiTheme="minorHAnsi" w:cstheme="minorHAnsi"/>
          <w:i/>
          <w:iCs/>
        </w:rPr>
        <w:tab/>
        <w:t>Popis metody</w:t>
      </w:r>
    </w:p>
    <w:p w:rsidR="0062760E" w:rsidRPr="00CF7B03" w:rsidRDefault="0062760E" w:rsidP="0062760E">
      <w:pPr>
        <w:rPr>
          <w:rFonts w:asciiTheme="minorHAnsi" w:hAnsiTheme="minorHAnsi" w:cstheme="minorHAnsi"/>
          <w:i/>
          <w:iCs/>
        </w:rPr>
      </w:pPr>
      <w:r w:rsidRPr="00CF7B03">
        <w:rPr>
          <w:rFonts w:asciiTheme="minorHAnsi" w:hAnsiTheme="minorHAnsi" w:cstheme="minorHAnsi"/>
          <w:i/>
          <w:iCs/>
        </w:rPr>
        <w:t>3.2</w:t>
      </w:r>
      <w:r w:rsidRPr="00CF7B03">
        <w:rPr>
          <w:rFonts w:asciiTheme="minorHAnsi" w:hAnsiTheme="minorHAnsi" w:cstheme="minorHAnsi"/>
          <w:i/>
          <w:iCs/>
        </w:rPr>
        <w:tab/>
        <w:t>Data a zdroje</w:t>
      </w:r>
    </w:p>
    <w:p w:rsidR="0062760E" w:rsidRPr="00CF7B03" w:rsidRDefault="0062760E" w:rsidP="0062760E">
      <w:pPr>
        <w:rPr>
          <w:rFonts w:asciiTheme="minorHAnsi" w:hAnsiTheme="minorHAnsi" w:cstheme="minorHAnsi"/>
          <w:i/>
          <w:iCs/>
        </w:rPr>
      </w:pPr>
      <w:r w:rsidRPr="00CF7B03">
        <w:rPr>
          <w:rFonts w:asciiTheme="minorHAnsi" w:hAnsiTheme="minorHAnsi" w:cstheme="minorHAnsi"/>
          <w:i/>
          <w:iCs/>
        </w:rPr>
        <w:t>3.3</w:t>
      </w:r>
      <w:r w:rsidRPr="00CF7B03">
        <w:rPr>
          <w:rFonts w:asciiTheme="minorHAnsi" w:hAnsiTheme="minorHAnsi" w:cstheme="minorHAnsi"/>
          <w:i/>
          <w:iCs/>
        </w:rPr>
        <w:tab/>
        <w:t>Výpočet teoretické daňové povinnosti k DPH v ČR za roky 2000 až 2011</w:t>
      </w:r>
    </w:p>
    <w:p w:rsidR="0062760E" w:rsidRPr="00CF7B03" w:rsidRDefault="0062760E" w:rsidP="0062760E">
      <w:pPr>
        <w:rPr>
          <w:rFonts w:asciiTheme="minorHAnsi" w:hAnsiTheme="minorHAnsi" w:cstheme="minorHAnsi"/>
          <w:i/>
          <w:iCs/>
        </w:rPr>
      </w:pPr>
      <w:r w:rsidRPr="00CF7B03">
        <w:rPr>
          <w:rFonts w:asciiTheme="minorHAnsi" w:hAnsiTheme="minorHAnsi" w:cstheme="minorHAnsi"/>
          <w:i/>
          <w:iCs/>
        </w:rPr>
        <w:t xml:space="preserve">3.4. </w:t>
      </w:r>
      <w:r w:rsidRPr="00CF7B03">
        <w:rPr>
          <w:rFonts w:asciiTheme="minorHAnsi" w:hAnsiTheme="minorHAnsi" w:cstheme="minorHAnsi"/>
          <w:i/>
          <w:iCs/>
        </w:rPr>
        <w:tab/>
        <w:t>Výpočet mezery DPH v ČR za uvedené roky</w:t>
      </w:r>
    </w:p>
    <w:p w:rsidR="0062760E" w:rsidRPr="00CF7B03" w:rsidRDefault="0062760E" w:rsidP="0062760E">
      <w:pPr>
        <w:rPr>
          <w:rFonts w:asciiTheme="minorHAnsi" w:hAnsiTheme="minorHAnsi" w:cstheme="minorHAnsi"/>
          <w:i/>
          <w:iCs/>
        </w:rPr>
      </w:pPr>
      <w:r w:rsidRPr="00CF7B03">
        <w:rPr>
          <w:rFonts w:asciiTheme="minorHAnsi" w:hAnsiTheme="minorHAnsi" w:cstheme="minorHAnsi"/>
          <w:i/>
          <w:iCs/>
        </w:rPr>
        <w:t>3.5.</w:t>
      </w:r>
      <w:r w:rsidRPr="00CF7B03">
        <w:rPr>
          <w:rFonts w:asciiTheme="minorHAnsi" w:hAnsiTheme="minorHAnsi" w:cstheme="minorHAnsi"/>
          <w:i/>
          <w:iCs/>
        </w:rPr>
        <w:tab/>
        <w:t xml:space="preserve">Statistická analýza vývoje mezery DPH v ČR v daném období </w:t>
      </w:r>
    </w:p>
    <w:p w:rsidR="0062760E" w:rsidRPr="00CF7B03" w:rsidRDefault="0062760E">
      <w:pPr>
        <w:rPr>
          <w:rFonts w:asciiTheme="minorHAnsi" w:hAnsiTheme="minorHAnsi" w:cstheme="minorHAnsi"/>
        </w:rPr>
      </w:pPr>
    </w:p>
    <w:p w:rsidR="00AC74CE" w:rsidRPr="00CF7B03" w:rsidRDefault="006037ED" w:rsidP="00062835">
      <w:pPr>
        <w:spacing w:before="120"/>
        <w:rPr>
          <w:rFonts w:asciiTheme="minorHAnsi" w:hAnsiTheme="minorHAnsi" w:cstheme="minorHAnsi"/>
          <w:b/>
          <w:bCs/>
        </w:rPr>
      </w:pPr>
      <w:proofErr w:type="gramStart"/>
      <w:r w:rsidRPr="00CF7B03">
        <w:rPr>
          <w:rFonts w:asciiTheme="minorHAnsi" w:hAnsiTheme="minorHAnsi" w:cstheme="minorHAnsi"/>
          <w:b/>
          <w:bCs/>
        </w:rPr>
        <w:t>4</w:t>
      </w:r>
      <w:r w:rsidR="00AC74CE" w:rsidRPr="00CF7B03">
        <w:rPr>
          <w:rFonts w:asciiTheme="minorHAnsi" w:hAnsiTheme="minorHAnsi" w:cstheme="minorHAnsi"/>
          <w:b/>
          <w:bCs/>
        </w:rPr>
        <w:t xml:space="preserve">  </w:t>
      </w:r>
      <w:r w:rsidR="00AC74CE" w:rsidRPr="00CF7B03">
        <w:rPr>
          <w:rFonts w:asciiTheme="minorHAnsi" w:hAnsiTheme="minorHAnsi" w:cstheme="minorHAnsi"/>
          <w:b/>
          <w:bCs/>
        </w:rPr>
        <w:tab/>
      </w:r>
      <w:proofErr w:type="gramEnd"/>
      <w:r w:rsidRPr="00CF7B03">
        <w:rPr>
          <w:rFonts w:asciiTheme="minorHAnsi" w:hAnsiTheme="minorHAnsi" w:cstheme="minorHAnsi"/>
          <w:b/>
          <w:bCs/>
        </w:rPr>
        <w:t>Ekonometrická analýza</w:t>
      </w:r>
      <w:r w:rsidR="00BF49C1" w:rsidRPr="00CF7B03">
        <w:rPr>
          <w:rFonts w:asciiTheme="minorHAnsi" w:hAnsiTheme="minorHAnsi" w:cstheme="minorHAnsi"/>
          <w:b/>
          <w:bCs/>
        </w:rPr>
        <w:t xml:space="preserve"> - výběr modelu</w:t>
      </w:r>
    </w:p>
    <w:p w:rsidR="00AC74CE" w:rsidRPr="00CF7B03" w:rsidRDefault="00AC74CE" w:rsidP="00F6424E">
      <w:pPr>
        <w:rPr>
          <w:rFonts w:asciiTheme="minorHAnsi" w:hAnsiTheme="minorHAnsi" w:cstheme="minorHAnsi"/>
          <w:i/>
          <w:iCs/>
        </w:rPr>
      </w:pPr>
      <w:r w:rsidRPr="00CF7B03">
        <w:rPr>
          <w:rFonts w:asciiTheme="minorHAnsi" w:hAnsiTheme="minorHAnsi" w:cstheme="minorHAnsi"/>
          <w:i/>
          <w:iCs/>
        </w:rPr>
        <w:t>3.1</w:t>
      </w:r>
      <w:r w:rsidRPr="00CF7B03">
        <w:rPr>
          <w:rFonts w:asciiTheme="minorHAnsi" w:hAnsiTheme="minorHAnsi" w:cstheme="minorHAnsi"/>
          <w:i/>
          <w:iCs/>
        </w:rPr>
        <w:tab/>
        <w:t xml:space="preserve">Výběr závisle proměnné </w:t>
      </w:r>
    </w:p>
    <w:p w:rsidR="00AC74CE" w:rsidRPr="00CF7B03" w:rsidRDefault="00AC74CE">
      <w:pPr>
        <w:rPr>
          <w:rFonts w:asciiTheme="minorHAnsi" w:hAnsiTheme="minorHAnsi" w:cstheme="minorHAnsi"/>
          <w:i/>
          <w:iCs/>
        </w:rPr>
      </w:pPr>
      <w:r w:rsidRPr="00CF7B03">
        <w:rPr>
          <w:rFonts w:asciiTheme="minorHAnsi" w:hAnsiTheme="minorHAnsi" w:cstheme="minorHAnsi"/>
          <w:i/>
          <w:iCs/>
        </w:rPr>
        <w:t>3.2</w:t>
      </w:r>
      <w:r w:rsidRPr="00CF7B03">
        <w:rPr>
          <w:rFonts w:asciiTheme="minorHAnsi" w:hAnsiTheme="minorHAnsi" w:cstheme="minorHAnsi"/>
          <w:i/>
          <w:iCs/>
        </w:rPr>
        <w:tab/>
        <w:t>Výběr nezávisle proměnných</w:t>
      </w:r>
    </w:p>
    <w:p w:rsidR="00AC74CE" w:rsidRPr="00CF7B03" w:rsidRDefault="00AC74CE">
      <w:pPr>
        <w:rPr>
          <w:rFonts w:asciiTheme="minorHAnsi" w:hAnsiTheme="minorHAnsi" w:cstheme="minorHAnsi"/>
          <w:i/>
          <w:iCs/>
        </w:rPr>
      </w:pPr>
      <w:r w:rsidRPr="00CF7B03">
        <w:rPr>
          <w:rFonts w:asciiTheme="minorHAnsi" w:hAnsiTheme="minorHAnsi" w:cstheme="minorHAnsi"/>
          <w:i/>
          <w:iCs/>
        </w:rPr>
        <w:t>3.3</w:t>
      </w:r>
      <w:r w:rsidRPr="00CF7B03">
        <w:rPr>
          <w:rFonts w:asciiTheme="minorHAnsi" w:hAnsiTheme="minorHAnsi" w:cstheme="minorHAnsi"/>
          <w:i/>
          <w:iCs/>
        </w:rPr>
        <w:tab/>
        <w:t>Data a zdroje</w:t>
      </w:r>
    </w:p>
    <w:p w:rsidR="00AC74CE" w:rsidRPr="00CF7B03" w:rsidRDefault="00AC74CE">
      <w:pPr>
        <w:rPr>
          <w:rFonts w:asciiTheme="minorHAnsi" w:hAnsiTheme="minorHAnsi" w:cstheme="minorHAnsi"/>
          <w:i/>
          <w:iCs/>
        </w:rPr>
      </w:pPr>
      <w:r w:rsidRPr="00CF7B03">
        <w:rPr>
          <w:rFonts w:asciiTheme="minorHAnsi" w:hAnsiTheme="minorHAnsi" w:cstheme="minorHAnsi"/>
          <w:i/>
          <w:iCs/>
        </w:rPr>
        <w:t>3.4</w:t>
      </w:r>
      <w:r w:rsidRPr="00CF7B03">
        <w:rPr>
          <w:rFonts w:asciiTheme="minorHAnsi" w:hAnsiTheme="minorHAnsi" w:cstheme="minorHAnsi"/>
          <w:i/>
          <w:iCs/>
        </w:rPr>
        <w:tab/>
        <w:t xml:space="preserve">Výběr typu modelu (modelů) </w:t>
      </w:r>
    </w:p>
    <w:p w:rsidR="00AC74CE" w:rsidRPr="00CF7B03" w:rsidRDefault="00AC74CE" w:rsidP="00062835">
      <w:pPr>
        <w:spacing w:before="120"/>
        <w:rPr>
          <w:rFonts w:asciiTheme="minorHAnsi" w:hAnsiTheme="minorHAnsi" w:cstheme="minorHAnsi"/>
          <w:b/>
          <w:bCs/>
        </w:rPr>
      </w:pPr>
      <w:r w:rsidRPr="00CF7B03">
        <w:rPr>
          <w:rFonts w:asciiTheme="minorHAnsi" w:hAnsiTheme="minorHAnsi" w:cstheme="minorHAnsi"/>
          <w:b/>
          <w:bCs/>
        </w:rPr>
        <w:t>4</w:t>
      </w:r>
      <w:r w:rsidRPr="00CF7B03">
        <w:rPr>
          <w:rFonts w:asciiTheme="minorHAnsi" w:hAnsiTheme="minorHAnsi" w:cstheme="minorHAnsi"/>
          <w:b/>
          <w:bCs/>
        </w:rPr>
        <w:tab/>
        <w:t>Prezentace výsledků</w:t>
      </w:r>
    </w:p>
    <w:p w:rsidR="00AC74CE" w:rsidRPr="00CF7B03" w:rsidRDefault="00AC74CE">
      <w:pPr>
        <w:rPr>
          <w:rFonts w:asciiTheme="minorHAnsi" w:hAnsiTheme="minorHAnsi" w:cstheme="minorHAnsi"/>
          <w:i/>
          <w:iCs/>
        </w:rPr>
      </w:pPr>
      <w:r w:rsidRPr="00CF7B03">
        <w:rPr>
          <w:rFonts w:asciiTheme="minorHAnsi" w:hAnsiTheme="minorHAnsi" w:cstheme="minorHAnsi"/>
          <w:i/>
          <w:iCs/>
        </w:rPr>
        <w:t>4.1</w:t>
      </w:r>
      <w:r w:rsidRPr="00CF7B03">
        <w:rPr>
          <w:rFonts w:asciiTheme="minorHAnsi" w:hAnsiTheme="minorHAnsi" w:cstheme="minorHAnsi"/>
          <w:i/>
          <w:iCs/>
        </w:rPr>
        <w:tab/>
        <w:t>Prezentace výsledků jednotlivých regresí</w:t>
      </w:r>
    </w:p>
    <w:p w:rsidR="00AC74CE" w:rsidRPr="00CF7B03" w:rsidRDefault="00AC74CE">
      <w:pPr>
        <w:rPr>
          <w:rFonts w:asciiTheme="minorHAnsi" w:hAnsiTheme="minorHAnsi" w:cstheme="minorHAnsi"/>
          <w:i/>
          <w:iCs/>
        </w:rPr>
      </w:pPr>
      <w:r w:rsidRPr="00CF7B03">
        <w:rPr>
          <w:rFonts w:asciiTheme="minorHAnsi" w:hAnsiTheme="minorHAnsi" w:cstheme="minorHAnsi"/>
          <w:i/>
          <w:iCs/>
        </w:rPr>
        <w:t>4.2</w:t>
      </w:r>
      <w:r w:rsidRPr="00CF7B03">
        <w:rPr>
          <w:rFonts w:asciiTheme="minorHAnsi" w:hAnsiTheme="minorHAnsi" w:cstheme="minorHAnsi"/>
          <w:i/>
          <w:iCs/>
        </w:rPr>
        <w:tab/>
        <w:t>Interpretace výsledků</w:t>
      </w:r>
    </w:p>
    <w:p w:rsidR="00AC74CE" w:rsidRPr="00CF7B03" w:rsidRDefault="00AC74CE">
      <w:pPr>
        <w:rPr>
          <w:rFonts w:asciiTheme="minorHAnsi" w:hAnsiTheme="minorHAnsi" w:cstheme="minorHAnsi"/>
          <w:i/>
          <w:iCs/>
        </w:rPr>
      </w:pPr>
      <w:r w:rsidRPr="00CF7B03">
        <w:rPr>
          <w:rFonts w:asciiTheme="minorHAnsi" w:hAnsiTheme="minorHAnsi" w:cstheme="minorHAnsi"/>
          <w:i/>
          <w:iCs/>
        </w:rPr>
        <w:t>4.3</w:t>
      </w:r>
      <w:r w:rsidRPr="00CF7B03">
        <w:rPr>
          <w:rFonts w:asciiTheme="minorHAnsi" w:hAnsiTheme="minorHAnsi" w:cstheme="minorHAnsi"/>
          <w:i/>
          <w:iCs/>
        </w:rPr>
        <w:tab/>
        <w:t>Komparativní analýza</w:t>
      </w:r>
    </w:p>
    <w:p w:rsidR="00AC74CE" w:rsidRPr="00CF7B03" w:rsidRDefault="00AC74CE" w:rsidP="00062835">
      <w:pPr>
        <w:spacing w:before="120"/>
        <w:rPr>
          <w:rFonts w:asciiTheme="minorHAnsi" w:hAnsiTheme="minorHAnsi" w:cstheme="minorHAnsi"/>
          <w:b/>
          <w:bCs/>
        </w:rPr>
      </w:pPr>
      <w:r w:rsidRPr="00CF7B03">
        <w:rPr>
          <w:rFonts w:asciiTheme="minorHAnsi" w:hAnsiTheme="minorHAnsi" w:cstheme="minorHAnsi"/>
          <w:b/>
          <w:bCs/>
        </w:rPr>
        <w:t>5</w:t>
      </w:r>
      <w:r w:rsidRPr="00CF7B03">
        <w:rPr>
          <w:rFonts w:asciiTheme="minorHAnsi" w:hAnsiTheme="minorHAnsi" w:cstheme="minorHAnsi"/>
          <w:b/>
          <w:bCs/>
        </w:rPr>
        <w:tab/>
        <w:t>Závěr</w:t>
      </w:r>
    </w:p>
    <w:p w:rsidR="00AC74CE" w:rsidRPr="00CF7B03" w:rsidRDefault="00BF49C1" w:rsidP="00CD520F">
      <w:pPr>
        <w:ind w:left="705"/>
        <w:rPr>
          <w:rFonts w:asciiTheme="minorHAnsi" w:hAnsiTheme="minorHAnsi" w:cstheme="minorHAnsi"/>
        </w:rPr>
      </w:pPr>
      <w:r w:rsidRPr="00CF7B03">
        <w:rPr>
          <w:rFonts w:asciiTheme="minorHAnsi" w:hAnsiTheme="minorHAnsi" w:cstheme="minorHAnsi"/>
        </w:rPr>
        <w:t>O</w:t>
      </w:r>
      <w:r w:rsidR="005421CC" w:rsidRPr="00CF7B03">
        <w:rPr>
          <w:rFonts w:asciiTheme="minorHAnsi" w:hAnsiTheme="minorHAnsi" w:cstheme="minorHAnsi"/>
        </w:rPr>
        <w:t xml:space="preserve">dpovědi na výzkumné otázky, </w:t>
      </w:r>
      <w:r w:rsidR="00CA5C1A" w:rsidRPr="00CF7B03">
        <w:rPr>
          <w:rFonts w:asciiTheme="minorHAnsi" w:hAnsiTheme="minorHAnsi" w:cstheme="minorHAnsi"/>
        </w:rPr>
        <w:t xml:space="preserve">vyhodnocení splnění cílů práce, </w:t>
      </w:r>
      <w:r w:rsidR="00CD520F" w:rsidRPr="00CF7B03">
        <w:rPr>
          <w:rFonts w:asciiTheme="minorHAnsi" w:hAnsiTheme="minorHAnsi" w:cstheme="minorHAnsi"/>
        </w:rPr>
        <w:t>e</w:t>
      </w:r>
      <w:r w:rsidR="00873060" w:rsidRPr="00CF7B03">
        <w:rPr>
          <w:rFonts w:asciiTheme="minorHAnsi" w:hAnsiTheme="minorHAnsi" w:cstheme="minorHAnsi"/>
        </w:rPr>
        <w:t>xplicitní definování přínosů práce pro rozvoj teorie</w:t>
      </w:r>
      <w:r w:rsidR="00CD520F" w:rsidRPr="00CF7B03">
        <w:rPr>
          <w:rFonts w:asciiTheme="minorHAnsi" w:hAnsiTheme="minorHAnsi" w:cstheme="minorHAnsi"/>
        </w:rPr>
        <w:t>, do</w:t>
      </w:r>
      <w:r w:rsidR="00873060" w:rsidRPr="00CF7B03">
        <w:rPr>
          <w:rFonts w:asciiTheme="minorHAnsi" w:hAnsiTheme="minorHAnsi" w:cstheme="minorHAnsi"/>
        </w:rPr>
        <w:t>por</w:t>
      </w:r>
      <w:r w:rsidRPr="00CF7B03">
        <w:rPr>
          <w:rFonts w:asciiTheme="minorHAnsi" w:hAnsiTheme="minorHAnsi" w:cstheme="minorHAnsi"/>
        </w:rPr>
        <w:t>učující závěry pro další výzkum, případně daňovou politiku</w:t>
      </w:r>
      <w:r w:rsidR="00873060" w:rsidRPr="00CF7B03">
        <w:rPr>
          <w:rFonts w:asciiTheme="minorHAnsi" w:hAnsiTheme="minorHAnsi" w:cstheme="minorHAnsi"/>
        </w:rPr>
        <w:t xml:space="preserve"> </w:t>
      </w:r>
    </w:p>
    <w:p w:rsidR="00AC74CE" w:rsidRPr="00CF7B03" w:rsidRDefault="00AC74CE" w:rsidP="00062835">
      <w:pPr>
        <w:spacing w:before="120"/>
        <w:rPr>
          <w:rFonts w:asciiTheme="minorHAnsi" w:hAnsiTheme="minorHAnsi" w:cstheme="minorHAnsi"/>
          <w:b/>
          <w:bCs/>
        </w:rPr>
      </w:pPr>
      <w:r w:rsidRPr="00CF7B03">
        <w:rPr>
          <w:rFonts w:asciiTheme="minorHAnsi" w:hAnsiTheme="minorHAnsi" w:cstheme="minorHAnsi"/>
          <w:b/>
          <w:bCs/>
        </w:rPr>
        <w:t>6</w:t>
      </w:r>
      <w:r w:rsidRPr="00CF7B03">
        <w:rPr>
          <w:rFonts w:asciiTheme="minorHAnsi" w:hAnsiTheme="minorHAnsi" w:cstheme="minorHAnsi"/>
          <w:b/>
          <w:bCs/>
        </w:rPr>
        <w:tab/>
        <w:t>Přehled použité literatury</w:t>
      </w:r>
      <w:r w:rsidRPr="00CF7B03">
        <w:rPr>
          <w:rFonts w:asciiTheme="minorHAnsi" w:hAnsiTheme="minorHAnsi" w:cstheme="minorHAnsi"/>
          <w:b/>
          <w:bCs/>
        </w:rPr>
        <w:tab/>
      </w:r>
      <w:r w:rsidRPr="00CF7B03">
        <w:rPr>
          <w:rFonts w:asciiTheme="minorHAnsi" w:hAnsiTheme="minorHAnsi" w:cstheme="minorHAnsi"/>
          <w:b/>
          <w:bCs/>
        </w:rPr>
        <w:tab/>
      </w:r>
    </w:p>
    <w:p w:rsidR="00AC74CE" w:rsidRPr="00CF7B03" w:rsidRDefault="00AC74CE" w:rsidP="00062835">
      <w:pPr>
        <w:spacing w:before="120"/>
        <w:rPr>
          <w:rFonts w:asciiTheme="minorHAnsi" w:hAnsiTheme="minorHAnsi" w:cstheme="minorHAnsi"/>
          <w:b/>
          <w:bCs/>
        </w:rPr>
      </w:pPr>
      <w:r w:rsidRPr="00CF7B03">
        <w:rPr>
          <w:rFonts w:asciiTheme="minorHAnsi" w:hAnsiTheme="minorHAnsi" w:cstheme="minorHAnsi"/>
          <w:b/>
          <w:bCs/>
        </w:rPr>
        <w:t>7</w:t>
      </w:r>
      <w:r w:rsidRPr="00CF7B03">
        <w:rPr>
          <w:rFonts w:asciiTheme="minorHAnsi" w:hAnsiTheme="minorHAnsi" w:cstheme="minorHAnsi"/>
          <w:b/>
          <w:bCs/>
        </w:rPr>
        <w:tab/>
        <w:t>Přílohy</w:t>
      </w:r>
    </w:p>
    <w:p w:rsidR="00AC74CE" w:rsidRPr="00CF7B03" w:rsidRDefault="00AC74CE">
      <w:pPr>
        <w:rPr>
          <w:rFonts w:asciiTheme="minorHAnsi" w:hAnsiTheme="minorHAnsi" w:cstheme="minorHAnsi"/>
        </w:rPr>
      </w:pPr>
    </w:p>
    <w:p w:rsidR="00062835" w:rsidRPr="00CF7B03" w:rsidRDefault="00062835">
      <w:pPr>
        <w:rPr>
          <w:rFonts w:asciiTheme="minorHAnsi" w:hAnsiTheme="minorHAnsi" w:cstheme="minorHAnsi"/>
        </w:rPr>
      </w:pPr>
    </w:p>
    <w:p w:rsidR="00053463" w:rsidRPr="00CF7B03" w:rsidRDefault="00AC74CE" w:rsidP="0010342D">
      <w:pPr>
        <w:pStyle w:val="Nadpis2"/>
        <w:rPr>
          <w:rFonts w:asciiTheme="minorHAnsi" w:hAnsiTheme="minorHAnsi" w:cstheme="minorHAnsi"/>
          <w:b/>
          <w:sz w:val="22"/>
          <w:szCs w:val="22"/>
        </w:rPr>
      </w:pPr>
      <w:r w:rsidRPr="00CF7B03">
        <w:rPr>
          <w:rFonts w:asciiTheme="minorHAnsi" w:hAnsiTheme="minorHAnsi" w:cstheme="minorHAnsi"/>
          <w:b/>
        </w:rPr>
        <w:t>Výběr z relevantní literatury</w:t>
      </w:r>
      <w:r w:rsidR="0010342D" w:rsidRPr="00CF7B03">
        <w:rPr>
          <w:rFonts w:asciiTheme="minorHAnsi" w:hAnsiTheme="minorHAnsi" w:cstheme="minorHAnsi"/>
          <w:b/>
          <w:lang w:val="cs-CZ"/>
        </w:rPr>
        <w:t xml:space="preserve"> </w:t>
      </w:r>
      <w:r w:rsidR="0010342D" w:rsidRPr="00CF7B03">
        <w:rPr>
          <w:rFonts w:asciiTheme="minorHAnsi" w:hAnsiTheme="minorHAnsi" w:cstheme="minorHAnsi"/>
          <w:i/>
          <w:sz w:val="22"/>
          <w:szCs w:val="22"/>
          <w:highlight w:val="lightGray"/>
          <w:lang w:val="cs-CZ"/>
        </w:rPr>
        <w:t xml:space="preserve">(přehled tuzemské a zahraniční teoretické a empirické literatury; formát uvádění </w:t>
      </w:r>
      <w:r w:rsidR="00E925B9" w:rsidRPr="00CF7B03">
        <w:rPr>
          <w:rFonts w:asciiTheme="minorHAnsi" w:hAnsiTheme="minorHAnsi" w:cstheme="minorHAnsi"/>
          <w:i/>
          <w:sz w:val="22"/>
          <w:szCs w:val="22"/>
          <w:highlight w:val="lightGray"/>
          <w:lang w:val="cs-CZ"/>
        </w:rPr>
        <w:t xml:space="preserve">literatury </w:t>
      </w:r>
      <w:r w:rsidR="0010342D" w:rsidRPr="00CF7B03">
        <w:rPr>
          <w:rFonts w:asciiTheme="minorHAnsi" w:hAnsiTheme="minorHAnsi" w:cstheme="minorHAnsi"/>
          <w:i/>
          <w:sz w:val="22"/>
          <w:szCs w:val="22"/>
          <w:highlight w:val="lightGray"/>
          <w:lang w:val="cs-CZ"/>
        </w:rPr>
        <w:t>může</w:t>
      </w:r>
      <w:r w:rsidR="00E925B9" w:rsidRPr="00CF7B03">
        <w:rPr>
          <w:rFonts w:asciiTheme="minorHAnsi" w:hAnsiTheme="minorHAnsi" w:cstheme="minorHAnsi"/>
          <w:i/>
          <w:sz w:val="22"/>
          <w:szCs w:val="22"/>
          <w:highlight w:val="lightGray"/>
          <w:lang w:val="cs-CZ"/>
        </w:rPr>
        <w:t xml:space="preserve"> být různý, ale musí být sjednocený v celých Tezích</w:t>
      </w:r>
      <w:r w:rsidR="0010342D" w:rsidRPr="00CF7B03">
        <w:rPr>
          <w:rFonts w:asciiTheme="minorHAnsi" w:hAnsiTheme="minorHAnsi" w:cstheme="minorHAnsi"/>
          <w:i/>
          <w:sz w:val="22"/>
          <w:szCs w:val="22"/>
          <w:highlight w:val="lightGray"/>
          <w:lang w:val="cs-CZ"/>
        </w:rPr>
        <w:t>)</w:t>
      </w:r>
    </w:p>
    <w:tbl>
      <w:tblPr>
        <w:tblW w:w="9285" w:type="dxa"/>
        <w:tblInd w:w="-108" w:type="dxa"/>
        <w:tblLayout w:type="fixed"/>
        <w:tblCellMar>
          <w:left w:w="10" w:type="dxa"/>
          <w:right w:w="10" w:type="dxa"/>
        </w:tblCellMar>
        <w:tblLook w:val="04A0" w:firstRow="1" w:lastRow="0" w:firstColumn="1" w:lastColumn="0" w:noHBand="0" w:noVBand="1"/>
      </w:tblPr>
      <w:tblGrid>
        <w:gridCol w:w="9285"/>
      </w:tblGrid>
      <w:tr w:rsidR="00E575DB" w:rsidRPr="00CF7B03" w:rsidTr="005D4231">
        <w:tc>
          <w:tcPr>
            <w:tcW w:w="9285" w:type="dxa"/>
            <w:tcMar>
              <w:top w:w="0" w:type="dxa"/>
              <w:left w:w="108" w:type="dxa"/>
              <w:bottom w:w="0" w:type="dxa"/>
              <w:right w:w="108" w:type="dxa"/>
            </w:tcMar>
          </w:tcPr>
          <w:p w:rsidR="00E575DB" w:rsidRPr="00CF7B03" w:rsidRDefault="00E575DB" w:rsidP="00E925B9">
            <w:pPr>
              <w:pStyle w:val="Bibliografie"/>
              <w:numPr>
                <w:ilvl w:val="0"/>
                <w:numId w:val="15"/>
              </w:numPr>
              <w:spacing w:after="60"/>
              <w:rPr>
                <w:rFonts w:asciiTheme="minorHAnsi" w:hAnsiTheme="minorHAnsi" w:cstheme="minorHAnsi"/>
              </w:rPr>
            </w:pPr>
            <w:r w:rsidRPr="00CF7B03">
              <w:rPr>
                <w:rFonts w:asciiTheme="minorHAnsi" w:hAnsiTheme="minorHAnsi" w:cstheme="minorHAnsi"/>
              </w:rPr>
              <w:t>AGHA, A. a HAUGHTON, J. (1996). „</w:t>
            </w:r>
            <w:proofErr w:type="spellStart"/>
            <w:r w:rsidRPr="00CF7B03">
              <w:rPr>
                <w:rFonts w:asciiTheme="minorHAnsi" w:hAnsiTheme="minorHAnsi" w:cstheme="minorHAnsi"/>
              </w:rPr>
              <w:t>Designing</w:t>
            </w:r>
            <w:proofErr w:type="spellEnd"/>
            <w:r w:rsidRPr="00CF7B03">
              <w:rPr>
                <w:rFonts w:asciiTheme="minorHAnsi" w:hAnsiTheme="minorHAnsi" w:cstheme="minorHAnsi"/>
              </w:rPr>
              <w:t xml:space="preserve"> VAT Systems: </w:t>
            </w:r>
            <w:proofErr w:type="spellStart"/>
            <w:r w:rsidRPr="00CF7B03">
              <w:rPr>
                <w:rFonts w:asciiTheme="minorHAnsi" w:hAnsiTheme="minorHAnsi" w:cstheme="minorHAnsi"/>
              </w:rPr>
              <w:t>Some</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Efficiency</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Considerations</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i/>
                <w:iCs/>
              </w:rPr>
              <w:t>The</w:t>
            </w:r>
            <w:proofErr w:type="spellEnd"/>
            <w:r w:rsidRPr="00CF7B03">
              <w:rPr>
                <w:rFonts w:asciiTheme="minorHAnsi" w:hAnsiTheme="minorHAnsi" w:cstheme="minorHAnsi"/>
                <w:i/>
                <w:iCs/>
              </w:rPr>
              <w:t xml:space="preserve"> </w:t>
            </w:r>
            <w:proofErr w:type="spellStart"/>
            <w:r w:rsidRPr="00CF7B03">
              <w:rPr>
                <w:rFonts w:asciiTheme="minorHAnsi" w:hAnsiTheme="minorHAnsi" w:cstheme="minorHAnsi"/>
                <w:i/>
                <w:iCs/>
              </w:rPr>
              <w:t>Review</w:t>
            </w:r>
            <w:proofErr w:type="spellEnd"/>
            <w:r w:rsidRPr="00CF7B03">
              <w:rPr>
                <w:rFonts w:asciiTheme="minorHAnsi" w:hAnsiTheme="minorHAnsi" w:cstheme="minorHAnsi"/>
                <w:i/>
                <w:iCs/>
              </w:rPr>
              <w:t xml:space="preserve"> </w:t>
            </w:r>
            <w:proofErr w:type="spellStart"/>
            <w:r w:rsidRPr="00CF7B03">
              <w:rPr>
                <w:rFonts w:asciiTheme="minorHAnsi" w:hAnsiTheme="minorHAnsi" w:cstheme="minorHAnsi"/>
                <w:i/>
                <w:iCs/>
              </w:rPr>
              <w:t>of</w:t>
            </w:r>
            <w:proofErr w:type="spellEnd"/>
            <w:r w:rsidRPr="00CF7B03">
              <w:rPr>
                <w:rFonts w:asciiTheme="minorHAnsi" w:hAnsiTheme="minorHAnsi" w:cstheme="minorHAnsi"/>
                <w:i/>
                <w:iCs/>
              </w:rPr>
              <w:t xml:space="preserve"> </w:t>
            </w:r>
            <w:proofErr w:type="spellStart"/>
            <w:r w:rsidRPr="00CF7B03">
              <w:rPr>
                <w:rFonts w:asciiTheme="minorHAnsi" w:hAnsiTheme="minorHAnsi" w:cstheme="minorHAnsi"/>
                <w:i/>
                <w:iCs/>
              </w:rPr>
              <w:t>Economics</w:t>
            </w:r>
            <w:proofErr w:type="spellEnd"/>
            <w:r w:rsidRPr="00CF7B03">
              <w:rPr>
                <w:rFonts w:asciiTheme="minorHAnsi" w:hAnsiTheme="minorHAnsi" w:cstheme="minorHAnsi"/>
                <w:i/>
                <w:iCs/>
              </w:rPr>
              <w:t xml:space="preserve"> and </w:t>
            </w:r>
            <w:proofErr w:type="spellStart"/>
            <w:r w:rsidRPr="00CF7B03">
              <w:rPr>
                <w:rFonts w:asciiTheme="minorHAnsi" w:hAnsiTheme="minorHAnsi" w:cstheme="minorHAnsi"/>
                <w:i/>
                <w:iCs/>
              </w:rPr>
              <w:t>Statistics</w:t>
            </w:r>
            <w:proofErr w:type="spellEnd"/>
            <w:r w:rsidRPr="00CF7B03">
              <w:rPr>
                <w:rFonts w:asciiTheme="minorHAnsi" w:hAnsiTheme="minorHAnsi" w:cstheme="minorHAnsi"/>
              </w:rPr>
              <w:t xml:space="preserve"> 78 (2): 303–08.</w:t>
            </w:r>
          </w:p>
        </w:tc>
      </w:tr>
      <w:tr w:rsidR="00E575DB" w:rsidRPr="00CF7B03" w:rsidTr="005D4231">
        <w:tc>
          <w:tcPr>
            <w:tcW w:w="9285" w:type="dxa"/>
            <w:tcMar>
              <w:top w:w="0" w:type="dxa"/>
              <w:left w:w="108" w:type="dxa"/>
              <w:bottom w:w="0" w:type="dxa"/>
              <w:right w:w="108" w:type="dxa"/>
            </w:tcMar>
          </w:tcPr>
          <w:p w:rsidR="00E575DB" w:rsidRPr="00CF7B03" w:rsidRDefault="00E575DB" w:rsidP="00E925B9">
            <w:pPr>
              <w:pStyle w:val="Bibliografie"/>
              <w:numPr>
                <w:ilvl w:val="0"/>
                <w:numId w:val="15"/>
              </w:numPr>
              <w:spacing w:after="60"/>
              <w:rPr>
                <w:rFonts w:asciiTheme="minorHAnsi" w:hAnsiTheme="minorHAnsi" w:cstheme="minorHAnsi"/>
              </w:rPr>
            </w:pPr>
            <w:proofErr w:type="spellStart"/>
            <w:r w:rsidRPr="00CF7B03">
              <w:rPr>
                <w:rFonts w:asciiTheme="minorHAnsi" w:hAnsiTheme="minorHAnsi" w:cstheme="minorHAnsi"/>
              </w:rPr>
              <w:t>Barbone</w:t>
            </w:r>
            <w:proofErr w:type="spellEnd"/>
            <w:r w:rsidRPr="00CF7B03">
              <w:rPr>
                <w:rFonts w:asciiTheme="minorHAnsi" w:hAnsiTheme="minorHAnsi" w:cstheme="minorHAnsi"/>
              </w:rPr>
              <w:t xml:space="preserve">, Luca, Richard M. </w:t>
            </w:r>
            <w:proofErr w:type="spellStart"/>
            <w:r w:rsidRPr="00CF7B03">
              <w:rPr>
                <w:rFonts w:asciiTheme="minorHAnsi" w:hAnsiTheme="minorHAnsi" w:cstheme="minorHAnsi"/>
              </w:rPr>
              <w:t>Bird</w:t>
            </w:r>
            <w:proofErr w:type="spellEnd"/>
            <w:r w:rsidRPr="00CF7B03">
              <w:rPr>
                <w:rFonts w:asciiTheme="minorHAnsi" w:hAnsiTheme="minorHAnsi" w:cstheme="minorHAnsi"/>
              </w:rPr>
              <w:t xml:space="preserve">, a </w:t>
            </w:r>
            <w:proofErr w:type="spellStart"/>
            <w:r w:rsidRPr="00CF7B03">
              <w:rPr>
                <w:rFonts w:asciiTheme="minorHAnsi" w:hAnsiTheme="minorHAnsi" w:cstheme="minorHAnsi"/>
              </w:rPr>
              <w:t>Jaime</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Vázquez-Caro</w:t>
            </w:r>
            <w:proofErr w:type="spellEnd"/>
            <w:r w:rsidRPr="00CF7B03">
              <w:rPr>
                <w:rFonts w:asciiTheme="minorHAnsi" w:hAnsiTheme="minorHAnsi" w:cstheme="minorHAnsi"/>
              </w:rPr>
              <w:t>. 2012. „</w:t>
            </w:r>
            <w:proofErr w:type="spellStart"/>
            <w:r w:rsidRPr="00CF7B03">
              <w:rPr>
                <w:rFonts w:asciiTheme="minorHAnsi" w:hAnsiTheme="minorHAnsi" w:cstheme="minorHAnsi"/>
              </w:rPr>
              <w:t>The</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Costs</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of</w:t>
            </w:r>
            <w:proofErr w:type="spellEnd"/>
            <w:r w:rsidRPr="00CF7B03">
              <w:rPr>
                <w:rFonts w:asciiTheme="minorHAnsi" w:hAnsiTheme="minorHAnsi" w:cstheme="minorHAnsi"/>
              </w:rPr>
              <w:t xml:space="preserve"> VAT: A </w:t>
            </w:r>
            <w:proofErr w:type="spellStart"/>
            <w:r w:rsidRPr="00CF7B03">
              <w:rPr>
                <w:rFonts w:asciiTheme="minorHAnsi" w:hAnsiTheme="minorHAnsi" w:cstheme="minorHAnsi"/>
              </w:rPr>
              <w:t>Review</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of</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the</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Literature</w:t>
            </w:r>
            <w:proofErr w:type="spellEnd"/>
            <w:r w:rsidRPr="00CF7B03">
              <w:rPr>
                <w:rFonts w:asciiTheme="minorHAnsi" w:hAnsiTheme="minorHAnsi" w:cstheme="minorHAnsi"/>
              </w:rPr>
              <w:t xml:space="preserve">“. </w:t>
            </w:r>
            <w:r w:rsidRPr="00CF7B03">
              <w:rPr>
                <w:rFonts w:asciiTheme="minorHAnsi" w:hAnsiTheme="minorHAnsi" w:cstheme="minorHAnsi"/>
                <w:i/>
                <w:iCs/>
              </w:rPr>
              <w:t xml:space="preserve">CASE Network </w:t>
            </w:r>
            <w:proofErr w:type="spellStart"/>
            <w:r w:rsidRPr="00CF7B03">
              <w:rPr>
                <w:rFonts w:asciiTheme="minorHAnsi" w:hAnsiTheme="minorHAnsi" w:cstheme="minorHAnsi"/>
                <w:i/>
                <w:iCs/>
              </w:rPr>
              <w:t>Reports</w:t>
            </w:r>
            <w:proofErr w:type="spellEnd"/>
            <w:r w:rsidRPr="00CF7B03">
              <w:rPr>
                <w:rFonts w:asciiTheme="minorHAnsi" w:hAnsiTheme="minorHAnsi" w:cstheme="minorHAnsi"/>
              </w:rPr>
              <w:t xml:space="preserve"> (106): 2–66.</w:t>
            </w:r>
          </w:p>
        </w:tc>
      </w:tr>
      <w:tr w:rsidR="00E575DB" w:rsidRPr="00CF7B03" w:rsidTr="005D4231">
        <w:tc>
          <w:tcPr>
            <w:tcW w:w="9285" w:type="dxa"/>
            <w:tcMar>
              <w:top w:w="0" w:type="dxa"/>
              <w:left w:w="108" w:type="dxa"/>
              <w:bottom w:w="0" w:type="dxa"/>
              <w:right w:w="108" w:type="dxa"/>
            </w:tcMar>
          </w:tcPr>
          <w:p w:rsidR="00E575DB" w:rsidRPr="00CF7B03" w:rsidRDefault="00E575DB" w:rsidP="00E925B9">
            <w:pPr>
              <w:pStyle w:val="Bibliografie"/>
              <w:numPr>
                <w:ilvl w:val="0"/>
                <w:numId w:val="15"/>
              </w:numPr>
              <w:spacing w:after="60"/>
              <w:rPr>
                <w:rFonts w:asciiTheme="minorHAnsi" w:hAnsiTheme="minorHAnsi" w:cstheme="minorHAnsi"/>
              </w:rPr>
            </w:pPr>
            <w:proofErr w:type="spellStart"/>
            <w:r w:rsidRPr="00CF7B03">
              <w:rPr>
                <w:rFonts w:asciiTheme="minorHAnsi" w:hAnsiTheme="minorHAnsi" w:cstheme="minorHAnsi"/>
              </w:rPr>
              <w:t>Bird</w:t>
            </w:r>
            <w:proofErr w:type="spellEnd"/>
            <w:r w:rsidRPr="00CF7B03">
              <w:rPr>
                <w:rFonts w:asciiTheme="minorHAnsi" w:hAnsiTheme="minorHAnsi" w:cstheme="minorHAnsi"/>
              </w:rPr>
              <w:t xml:space="preserve">, Richard M., Jorge </w:t>
            </w:r>
            <w:proofErr w:type="spellStart"/>
            <w:r w:rsidRPr="00CF7B03">
              <w:rPr>
                <w:rFonts w:asciiTheme="minorHAnsi" w:hAnsiTheme="minorHAnsi" w:cstheme="minorHAnsi"/>
              </w:rPr>
              <w:t>Martinez-Vazquez</w:t>
            </w:r>
            <w:proofErr w:type="spellEnd"/>
            <w:r w:rsidRPr="00CF7B03">
              <w:rPr>
                <w:rFonts w:asciiTheme="minorHAnsi" w:hAnsiTheme="minorHAnsi" w:cstheme="minorHAnsi"/>
              </w:rPr>
              <w:t xml:space="preserve">, a Benno </w:t>
            </w:r>
            <w:proofErr w:type="spellStart"/>
            <w:r w:rsidRPr="00CF7B03">
              <w:rPr>
                <w:rFonts w:asciiTheme="minorHAnsi" w:hAnsiTheme="minorHAnsi" w:cstheme="minorHAnsi"/>
              </w:rPr>
              <w:t>Torgler</w:t>
            </w:r>
            <w:proofErr w:type="spellEnd"/>
            <w:r w:rsidRPr="00CF7B03">
              <w:rPr>
                <w:rFonts w:asciiTheme="minorHAnsi" w:hAnsiTheme="minorHAnsi" w:cstheme="minorHAnsi"/>
              </w:rPr>
              <w:t>. 2004. „</w:t>
            </w:r>
            <w:proofErr w:type="spellStart"/>
            <w:r w:rsidRPr="00CF7B03">
              <w:rPr>
                <w:rFonts w:asciiTheme="minorHAnsi" w:hAnsiTheme="minorHAnsi" w:cstheme="minorHAnsi"/>
              </w:rPr>
              <w:t>Societal</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Institutions</w:t>
            </w:r>
            <w:proofErr w:type="spellEnd"/>
            <w:r w:rsidRPr="00CF7B03">
              <w:rPr>
                <w:rFonts w:asciiTheme="minorHAnsi" w:hAnsiTheme="minorHAnsi" w:cstheme="minorHAnsi"/>
              </w:rPr>
              <w:t xml:space="preserve"> and Tax </w:t>
            </w:r>
            <w:proofErr w:type="spellStart"/>
            <w:r w:rsidRPr="00CF7B03">
              <w:rPr>
                <w:rFonts w:asciiTheme="minorHAnsi" w:hAnsiTheme="minorHAnsi" w:cstheme="minorHAnsi"/>
              </w:rPr>
              <w:t>Effort</w:t>
            </w:r>
            <w:proofErr w:type="spellEnd"/>
            <w:r w:rsidRPr="00CF7B03">
              <w:rPr>
                <w:rFonts w:asciiTheme="minorHAnsi" w:hAnsiTheme="minorHAnsi" w:cstheme="minorHAnsi"/>
              </w:rPr>
              <w:t xml:space="preserve"> in </w:t>
            </w:r>
            <w:proofErr w:type="spellStart"/>
            <w:r w:rsidRPr="00CF7B03">
              <w:rPr>
                <w:rFonts w:asciiTheme="minorHAnsi" w:hAnsiTheme="minorHAnsi" w:cstheme="minorHAnsi"/>
              </w:rPr>
              <w:t>Developing</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Countries</w:t>
            </w:r>
            <w:proofErr w:type="spellEnd"/>
            <w:r w:rsidRPr="00CF7B03">
              <w:rPr>
                <w:rFonts w:asciiTheme="minorHAnsi" w:hAnsiTheme="minorHAnsi" w:cstheme="minorHAnsi"/>
              </w:rPr>
              <w:t xml:space="preserve">“. </w:t>
            </w:r>
            <w:r w:rsidRPr="00CF7B03">
              <w:rPr>
                <w:rFonts w:asciiTheme="minorHAnsi" w:hAnsiTheme="minorHAnsi" w:cstheme="minorHAnsi"/>
                <w:i/>
                <w:iCs/>
              </w:rPr>
              <w:t xml:space="preserve">SSRN </w:t>
            </w:r>
            <w:proofErr w:type="spellStart"/>
            <w:r w:rsidRPr="00CF7B03">
              <w:rPr>
                <w:rFonts w:asciiTheme="minorHAnsi" w:hAnsiTheme="minorHAnsi" w:cstheme="minorHAnsi"/>
                <w:i/>
                <w:iCs/>
              </w:rPr>
              <w:t>eLibrary</w:t>
            </w:r>
            <w:proofErr w:type="spellEnd"/>
            <w:r w:rsidRPr="00CF7B03">
              <w:rPr>
                <w:rFonts w:asciiTheme="minorHAnsi" w:hAnsiTheme="minorHAnsi" w:cstheme="minorHAnsi"/>
              </w:rPr>
              <w:t>. http://papers.ssrn.com/sol3/papers.cfm?abstract_id=662081.</w:t>
            </w:r>
          </w:p>
        </w:tc>
      </w:tr>
      <w:tr w:rsidR="00E575DB" w:rsidRPr="00CF7B03" w:rsidTr="005D4231">
        <w:tc>
          <w:tcPr>
            <w:tcW w:w="9285" w:type="dxa"/>
            <w:tcMar>
              <w:top w:w="0" w:type="dxa"/>
              <w:left w:w="108" w:type="dxa"/>
              <w:bottom w:w="0" w:type="dxa"/>
              <w:right w:w="108" w:type="dxa"/>
            </w:tcMar>
          </w:tcPr>
          <w:p w:rsidR="00E575DB" w:rsidRPr="00CF7B03" w:rsidRDefault="00E575DB" w:rsidP="00E925B9">
            <w:pPr>
              <w:pStyle w:val="Bibliografie"/>
              <w:numPr>
                <w:ilvl w:val="0"/>
                <w:numId w:val="15"/>
              </w:numPr>
              <w:spacing w:after="60"/>
              <w:rPr>
                <w:rFonts w:asciiTheme="minorHAnsi" w:hAnsiTheme="minorHAnsi" w:cstheme="minorHAnsi"/>
              </w:rPr>
            </w:pPr>
            <w:r w:rsidRPr="00CF7B03">
              <w:rPr>
                <w:rFonts w:asciiTheme="minorHAnsi" w:hAnsiTheme="minorHAnsi" w:cstheme="minorHAnsi"/>
              </w:rPr>
              <w:t xml:space="preserve">BODIN, </w:t>
            </w:r>
            <w:proofErr w:type="gramStart"/>
            <w:r w:rsidRPr="00CF7B03">
              <w:rPr>
                <w:rFonts w:asciiTheme="minorHAnsi" w:hAnsiTheme="minorHAnsi" w:cstheme="minorHAnsi"/>
              </w:rPr>
              <w:t>J.,P.</w:t>
            </w:r>
            <w:proofErr w:type="gramEnd"/>
            <w:r w:rsidRPr="00CF7B03">
              <w:rPr>
                <w:rFonts w:asciiTheme="minorHAnsi" w:hAnsiTheme="minorHAnsi" w:cstheme="minorHAnsi"/>
              </w:rPr>
              <w:t xml:space="preserve">, EBRILL,E.P., KEEN, M., SUMMERS, V.P. (2001). </w:t>
            </w:r>
            <w:proofErr w:type="spellStart"/>
            <w:r w:rsidRPr="00CF7B03">
              <w:rPr>
                <w:rFonts w:asciiTheme="minorHAnsi" w:hAnsiTheme="minorHAnsi" w:cstheme="minorHAnsi"/>
                <w:i/>
                <w:iCs/>
              </w:rPr>
              <w:t>The</w:t>
            </w:r>
            <w:proofErr w:type="spellEnd"/>
            <w:r w:rsidRPr="00CF7B03">
              <w:rPr>
                <w:rFonts w:asciiTheme="minorHAnsi" w:hAnsiTheme="minorHAnsi" w:cstheme="minorHAnsi"/>
                <w:i/>
                <w:iCs/>
              </w:rPr>
              <w:t xml:space="preserve"> </w:t>
            </w:r>
            <w:proofErr w:type="spellStart"/>
            <w:r w:rsidRPr="00CF7B03">
              <w:rPr>
                <w:rFonts w:asciiTheme="minorHAnsi" w:hAnsiTheme="minorHAnsi" w:cstheme="minorHAnsi"/>
                <w:i/>
                <w:iCs/>
              </w:rPr>
              <w:t>Modern</w:t>
            </w:r>
            <w:proofErr w:type="spellEnd"/>
            <w:r w:rsidRPr="00CF7B03">
              <w:rPr>
                <w:rFonts w:asciiTheme="minorHAnsi" w:hAnsiTheme="minorHAnsi" w:cstheme="minorHAnsi"/>
                <w:i/>
                <w:iCs/>
              </w:rPr>
              <w:t xml:space="preserve"> VAT</w:t>
            </w:r>
            <w:r w:rsidRPr="00CF7B03">
              <w:rPr>
                <w:rFonts w:asciiTheme="minorHAnsi" w:hAnsiTheme="minorHAnsi" w:cstheme="minorHAnsi"/>
              </w:rPr>
              <w:t xml:space="preserve">. International </w:t>
            </w:r>
            <w:proofErr w:type="spellStart"/>
            <w:r w:rsidRPr="00CF7B03">
              <w:rPr>
                <w:rFonts w:asciiTheme="minorHAnsi" w:hAnsiTheme="minorHAnsi" w:cstheme="minorHAnsi"/>
              </w:rPr>
              <w:t>Monetary</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Fund</w:t>
            </w:r>
            <w:proofErr w:type="spellEnd"/>
            <w:r w:rsidRPr="00CF7B03">
              <w:rPr>
                <w:rFonts w:asciiTheme="minorHAnsi" w:hAnsiTheme="minorHAnsi" w:cstheme="minorHAnsi"/>
              </w:rPr>
              <w:t>.</w:t>
            </w:r>
          </w:p>
        </w:tc>
      </w:tr>
      <w:tr w:rsidR="00E8789F" w:rsidRPr="00CF7B03" w:rsidTr="00CA036E">
        <w:tc>
          <w:tcPr>
            <w:tcW w:w="9285" w:type="dxa"/>
            <w:tcMar>
              <w:top w:w="0" w:type="dxa"/>
              <w:left w:w="108" w:type="dxa"/>
              <w:bottom w:w="0" w:type="dxa"/>
              <w:right w:w="108" w:type="dxa"/>
            </w:tcMar>
          </w:tcPr>
          <w:p w:rsidR="00E8789F" w:rsidRPr="00CF7B03" w:rsidRDefault="00E8789F" w:rsidP="00E925B9">
            <w:pPr>
              <w:pStyle w:val="Bibliografie"/>
              <w:numPr>
                <w:ilvl w:val="0"/>
                <w:numId w:val="15"/>
              </w:numPr>
              <w:spacing w:after="60"/>
              <w:rPr>
                <w:rFonts w:asciiTheme="minorHAnsi" w:hAnsiTheme="minorHAnsi" w:cstheme="minorHAnsi"/>
                <w:bCs/>
              </w:rPr>
            </w:pPr>
            <w:proofErr w:type="spellStart"/>
            <w:r w:rsidRPr="00CF7B03">
              <w:rPr>
                <w:rFonts w:asciiTheme="minorHAnsi" w:hAnsiTheme="minorHAnsi" w:cstheme="minorHAnsi"/>
              </w:rPr>
              <w:t>European</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Commission</w:t>
            </w:r>
            <w:proofErr w:type="spellEnd"/>
            <w:r w:rsidRPr="00CF7B03">
              <w:rPr>
                <w:rFonts w:asciiTheme="minorHAnsi" w:hAnsiTheme="minorHAnsi" w:cstheme="minorHAnsi"/>
              </w:rPr>
              <w:t xml:space="preserve"> (2012). </w:t>
            </w:r>
            <w:proofErr w:type="spellStart"/>
            <w:r w:rsidRPr="00CF7B03">
              <w:rPr>
                <w:rFonts w:asciiTheme="minorHAnsi" w:hAnsiTheme="minorHAnsi" w:cstheme="minorHAnsi"/>
              </w:rPr>
              <w:t>Taxation</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Trends</w:t>
            </w:r>
            <w:proofErr w:type="spellEnd"/>
            <w:r w:rsidRPr="00CF7B03">
              <w:rPr>
                <w:rFonts w:asciiTheme="minorHAnsi" w:hAnsiTheme="minorHAnsi" w:cstheme="minorHAnsi"/>
              </w:rPr>
              <w:t xml:space="preserve"> in </w:t>
            </w:r>
            <w:proofErr w:type="spellStart"/>
            <w:r w:rsidRPr="00CF7B03">
              <w:rPr>
                <w:rFonts w:asciiTheme="minorHAnsi" w:hAnsiTheme="minorHAnsi" w:cstheme="minorHAnsi"/>
              </w:rPr>
              <w:t>the</w:t>
            </w:r>
            <w:proofErr w:type="spellEnd"/>
            <w:r w:rsidRPr="00CF7B03">
              <w:rPr>
                <w:rFonts w:asciiTheme="minorHAnsi" w:hAnsiTheme="minorHAnsi" w:cstheme="minorHAnsi"/>
              </w:rPr>
              <w:t xml:space="preserve"> EU. </w:t>
            </w:r>
            <w:proofErr w:type="spellStart"/>
            <w:r w:rsidRPr="00CF7B03">
              <w:rPr>
                <w:rFonts w:asciiTheme="minorHAnsi" w:hAnsiTheme="minorHAnsi" w:cstheme="minorHAnsi"/>
              </w:rPr>
              <w:t>Luxembourg</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Publications</w:t>
            </w:r>
            <w:proofErr w:type="spellEnd"/>
            <w:r w:rsidRPr="00CF7B03">
              <w:rPr>
                <w:rFonts w:asciiTheme="minorHAnsi" w:hAnsiTheme="minorHAnsi" w:cstheme="minorHAnsi"/>
              </w:rPr>
              <w:t xml:space="preserve"> </w:t>
            </w:r>
            <w:r w:rsidRPr="00CF7B03">
              <w:rPr>
                <w:rFonts w:asciiTheme="minorHAnsi" w:hAnsiTheme="minorHAnsi" w:cstheme="minorHAnsi"/>
              </w:rPr>
              <w:lastRenderedPageBreak/>
              <w:t xml:space="preserve">Office </w:t>
            </w:r>
            <w:proofErr w:type="spellStart"/>
            <w:r w:rsidRPr="00CF7B03">
              <w:rPr>
                <w:rFonts w:asciiTheme="minorHAnsi" w:hAnsiTheme="minorHAnsi" w:cstheme="minorHAnsi"/>
              </w:rPr>
              <w:t>of</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the</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European</w:t>
            </w:r>
            <w:proofErr w:type="spellEnd"/>
            <w:r w:rsidRPr="00CF7B03">
              <w:rPr>
                <w:rFonts w:asciiTheme="minorHAnsi" w:hAnsiTheme="minorHAnsi" w:cstheme="minorHAnsi"/>
              </w:rPr>
              <w:t xml:space="preserve"> Union. [Citace 11.11. 2012]. Dostupné z: http://ec.europa.eu/taxation_customs/resources/documents/taxation/gen_info/economic_analysis/tax_structures/2012/report.pdf</w:t>
            </w:r>
          </w:p>
        </w:tc>
      </w:tr>
      <w:tr w:rsidR="00E575DB" w:rsidRPr="00CF7B03" w:rsidTr="005D4231">
        <w:tc>
          <w:tcPr>
            <w:tcW w:w="9285" w:type="dxa"/>
            <w:tcMar>
              <w:top w:w="0" w:type="dxa"/>
              <w:left w:w="108" w:type="dxa"/>
              <w:bottom w:w="0" w:type="dxa"/>
              <w:right w:w="108" w:type="dxa"/>
            </w:tcMar>
          </w:tcPr>
          <w:p w:rsidR="00E575DB" w:rsidRPr="00CF7B03" w:rsidRDefault="00E575DB" w:rsidP="00E925B9">
            <w:pPr>
              <w:pStyle w:val="Bibliografie"/>
              <w:numPr>
                <w:ilvl w:val="0"/>
                <w:numId w:val="15"/>
              </w:numPr>
              <w:spacing w:after="60"/>
              <w:rPr>
                <w:rFonts w:asciiTheme="minorHAnsi" w:hAnsiTheme="minorHAnsi" w:cstheme="minorHAnsi"/>
              </w:rPr>
            </w:pPr>
            <w:r w:rsidRPr="00CF7B03">
              <w:rPr>
                <w:rFonts w:asciiTheme="minorHAnsi" w:hAnsiTheme="minorHAnsi" w:cstheme="minorHAnsi"/>
              </w:rPr>
              <w:lastRenderedPageBreak/>
              <w:fldChar w:fldCharType="begin"/>
            </w:r>
            <w:r w:rsidRPr="00CF7B03">
              <w:rPr>
                <w:rFonts w:asciiTheme="minorHAnsi" w:hAnsiTheme="minorHAnsi" w:cstheme="minorHAnsi"/>
              </w:rPr>
              <w:instrText xml:space="preserve"> ADDIN ZOTERO_BIBL {"custom":[]} CSL_BIBLIOGRAPHY </w:instrText>
            </w:r>
            <w:r w:rsidRPr="00CF7B03">
              <w:rPr>
                <w:rFonts w:asciiTheme="minorHAnsi" w:hAnsiTheme="minorHAnsi" w:cstheme="minorHAnsi"/>
              </w:rPr>
              <w:fldChar w:fldCharType="separate"/>
            </w:r>
            <w:r w:rsidRPr="00CF7B03">
              <w:rPr>
                <w:rFonts w:asciiTheme="minorHAnsi" w:hAnsiTheme="minorHAnsi" w:cstheme="minorHAnsi"/>
              </w:rPr>
              <w:t xml:space="preserve">GEBAUER, A., Chang W. N., a Parsche, R. (2003). </w:t>
            </w:r>
            <w:r w:rsidRPr="00CF7B03">
              <w:rPr>
                <w:rFonts w:asciiTheme="minorHAnsi" w:hAnsiTheme="minorHAnsi" w:cstheme="minorHAnsi"/>
                <w:i/>
                <w:iCs/>
              </w:rPr>
              <w:t>Is the Completion of EU Single Market Hindered by VAT Evasion?</w:t>
            </w:r>
            <w:r w:rsidRPr="00CF7B03">
              <w:rPr>
                <w:rFonts w:asciiTheme="minorHAnsi" w:hAnsiTheme="minorHAnsi" w:cstheme="minorHAnsi"/>
              </w:rPr>
              <w:t xml:space="preserve"> CESifo Working Paper Series. CESifo Group Munich. Citace [19.8. 2012]. Dostupné z: http://ideas.repec.org/p/ces/ceswps/_974.html.</w:t>
            </w:r>
            <w:r w:rsidRPr="00CF7B03">
              <w:rPr>
                <w:rFonts w:asciiTheme="minorHAnsi" w:hAnsiTheme="minorHAnsi" w:cstheme="minorHAnsi"/>
              </w:rPr>
              <w:fldChar w:fldCharType="end"/>
            </w:r>
          </w:p>
        </w:tc>
      </w:tr>
      <w:tr w:rsidR="00E575DB" w:rsidRPr="00CF7B03" w:rsidTr="005D4231">
        <w:tc>
          <w:tcPr>
            <w:tcW w:w="9285" w:type="dxa"/>
            <w:tcMar>
              <w:top w:w="0" w:type="dxa"/>
              <w:left w:w="108" w:type="dxa"/>
              <w:bottom w:w="0" w:type="dxa"/>
              <w:right w:w="108" w:type="dxa"/>
            </w:tcMar>
          </w:tcPr>
          <w:p w:rsidR="00E575DB" w:rsidRPr="00CF7B03" w:rsidRDefault="00E575DB" w:rsidP="00E925B9">
            <w:pPr>
              <w:pStyle w:val="Standard"/>
              <w:numPr>
                <w:ilvl w:val="0"/>
                <w:numId w:val="15"/>
              </w:numPr>
              <w:spacing w:after="60"/>
              <w:rPr>
                <w:rFonts w:asciiTheme="minorHAnsi" w:hAnsiTheme="minorHAnsi" w:cstheme="minorHAnsi"/>
              </w:rPr>
            </w:pPr>
            <w:r w:rsidRPr="00CF7B03">
              <w:rPr>
                <w:rFonts w:asciiTheme="minorHAnsi" w:hAnsiTheme="minorHAnsi" w:cstheme="minorHAnsi"/>
              </w:rPr>
              <w:t xml:space="preserve">HANSSON, A., WALLBERG, K. (2008). Tax Gap Map </w:t>
            </w:r>
            <w:proofErr w:type="spellStart"/>
            <w:r w:rsidRPr="00CF7B03">
              <w:rPr>
                <w:rFonts w:asciiTheme="minorHAnsi" w:hAnsiTheme="minorHAnsi" w:cstheme="minorHAnsi"/>
              </w:rPr>
              <w:t>for</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Sweden</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Swedish</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National</w:t>
            </w:r>
            <w:proofErr w:type="spellEnd"/>
            <w:r w:rsidRPr="00CF7B03">
              <w:rPr>
                <w:rFonts w:asciiTheme="minorHAnsi" w:hAnsiTheme="minorHAnsi" w:cstheme="minorHAnsi"/>
              </w:rPr>
              <w:t xml:space="preserve"> Tax </w:t>
            </w:r>
            <w:proofErr w:type="spellStart"/>
            <w:r w:rsidRPr="00CF7B03">
              <w:rPr>
                <w:rFonts w:asciiTheme="minorHAnsi" w:hAnsiTheme="minorHAnsi" w:cstheme="minorHAnsi"/>
              </w:rPr>
              <w:t>Agency</w:t>
            </w:r>
            <w:proofErr w:type="spellEnd"/>
            <w:r w:rsidRPr="00CF7B03">
              <w:rPr>
                <w:rFonts w:asciiTheme="minorHAnsi" w:hAnsiTheme="minorHAnsi" w:cstheme="minorHAnsi"/>
              </w:rPr>
              <w:t xml:space="preserve">. [citace 15.12. 2011] dostupné z: </w:t>
            </w:r>
            <w:hyperlink r:id="rId8" w:history="1">
              <w:r w:rsidRPr="00CF7B03">
                <w:rPr>
                  <w:rFonts w:asciiTheme="minorHAnsi" w:hAnsiTheme="minorHAnsi" w:cstheme="minorHAnsi"/>
                </w:rPr>
                <w:t>http://www.skatteverket.se/download/18.225c96e811ae46c823f800014872/Report_2008_1B.pdf</w:t>
              </w:r>
            </w:hyperlink>
          </w:p>
        </w:tc>
      </w:tr>
      <w:tr w:rsidR="00E575DB" w:rsidRPr="00CF7B03" w:rsidTr="005D4231">
        <w:tc>
          <w:tcPr>
            <w:tcW w:w="9285" w:type="dxa"/>
            <w:tcMar>
              <w:top w:w="0" w:type="dxa"/>
              <w:left w:w="108" w:type="dxa"/>
              <w:bottom w:w="0" w:type="dxa"/>
              <w:right w:w="108" w:type="dxa"/>
            </w:tcMar>
          </w:tcPr>
          <w:p w:rsidR="00E575DB" w:rsidRPr="00CF7B03" w:rsidRDefault="00E575DB" w:rsidP="00E925B9">
            <w:pPr>
              <w:pStyle w:val="Standard"/>
              <w:numPr>
                <w:ilvl w:val="0"/>
                <w:numId w:val="15"/>
              </w:numPr>
              <w:spacing w:after="60"/>
              <w:rPr>
                <w:rFonts w:asciiTheme="minorHAnsi" w:hAnsiTheme="minorHAnsi" w:cstheme="minorHAnsi"/>
              </w:rPr>
            </w:pPr>
            <w:r w:rsidRPr="00CF7B03">
              <w:rPr>
                <w:rFonts w:asciiTheme="minorHAnsi" w:eastAsia="Times New Roman" w:hAnsiTheme="minorHAnsi" w:cstheme="minorHAnsi"/>
                <w:color w:val="000000"/>
                <w:lang w:eastAsia="cs-CZ"/>
              </w:rPr>
              <w:t xml:space="preserve">HM CUSTOMS AND EXCISE. (2011), </w:t>
            </w:r>
            <w:proofErr w:type="spellStart"/>
            <w:r w:rsidRPr="00CF7B03">
              <w:rPr>
                <w:rFonts w:asciiTheme="minorHAnsi" w:eastAsia="Times New Roman" w:hAnsiTheme="minorHAnsi" w:cstheme="minorHAnsi"/>
                <w:color w:val="000000"/>
                <w:lang w:eastAsia="cs-CZ"/>
              </w:rPr>
              <w:t>Measuring</w:t>
            </w:r>
            <w:proofErr w:type="spellEnd"/>
            <w:r w:rsidRPr="00CF7B03">
              <w:rPr>
                <w:rFonts w:asciiTheme="minorHAnsi" w:eastAsia="Times New Roman" w:hAnsiTheme="minorHAnsi" w:cstheme="minorHAnsi"/>
                <w:color w:val="000000"/>
                <w:lang w:eastAsia="cs-CZ"/>
              </w:rPr>
              <w:t xml:space="preserve"> Tax </w:t>
            </w:r>
            <w:proofErr w:type="spellStart"/>
            <w:r w:rsidRPr="00CF7B03">
              <w:rPr>
                <w:rFonts w:asciiTheme="minorHAnsi" w:eastAsia="Times New Roman" w:hAnsiTheme="minorHAnsi" w:cstheme="minorHAnsi"/>
                <w:color w:val="000000"/>
                <w:lang w:eastAsia="cs-CZ"/>
              </w:rPr>
              <w:t>Gaps</w:t>
            </w:r>
            <w:proofErr w:type="spellEnd"/>
            <w:r w:rsidRPr="00CF7B03">
              <w:rPr>
                <w:rFonts w:asciiTheme="minorHAnsi" w:eastAsia="Times New Roman" w:hAnsiTheme="minorHAnsi" w:cstheme="minorHAnsi"/>
                <w:color w:val="000000"/>
                <w:lang w:eastAsia="cs-CZ"/>
              </w:rPr>
              <w:t xml:space="preserve"> 2011, </w:t>
            </w:r>
            <w:r w:rsidRPr="00CF7B03">
              <w:rPr>
                <w:rFonts w:asciiTheme="minorHAnsi" w:hAnsiTheme="minorHAnsi" w:cstheme="minorHAnsi"/>
              </w:rPr>
              <w:t xml:space="preserve">[citace: 18.12. 2011]. </w:t>
            </w:r>
            <w:r w:rsidRPr="00CF7B03">
              <w:rPr>
                <w:rFonts w:asciiTheme="minorHAnsi" w:eastAsia="Times New Roman" w:hAnsiTheme="minorHAnsi" w:cstheme="minorHAnsi"/>
                <w:color w:val="000000"/>
                <w:lang w:eastAsia="cs-CZ"/>
              </w:rPr>
              <w:t xml:space="preserve">Dostupné z: </w:t>
            </w:r>
            <w:hyperlink r:id="rId9" w:history="1">
              <w:r w:rsidRPr="00CF7B03">
                <w:rPr>
                  <w:rFonts w:asciiTheme="minorHAnsi" w:hAnsiTheme="minorHAnsi" w:cstheme="minorHAnsi"/>
                </w:rPr>
                <w:t>http://www.hmrc.gov.uk/stats/mtg-2011.pdf</w:t>
              </w:r>
            </w:hyperlink>
          </w:p>
        </w:tc>
      </w:tr>
      <w:tr w:rsidR="00982B59" w:rsidRPr="00CF7B03" w:rsidTr="00CA036E">
        <w:tc>
          <w:tcPr>
            <w:tcW w:w="9285" w:type="dxa"/>
            <w:tcMar>
              <w:top w:w="0" w:type="dxa"/>
              <w:left w:w="108" w:type="dxa"/>
              <w:bottom w:w="0" w:type="dxa"/>
              <w:right w:w="108" w:type="dxa"/>
            </w:tcMar>
          </w:tcPr>
          <w:p w:rsidR="00982B59" w:rsidRPr="00CF7B03" w:rsidRDefault="00982B59" w:rsidP="00E925B9">
            <w:pPr>
              <w:pStyle w:val="Standard"/>
              <w:numPr>
                <w:ilvl w:val="0"/>
                <w:numId w:val="15"/>
              </w:numPr>
              <w:spacing w:after="60"/>
              <w:rPr>
                <w:rFonts w:asciiTheme="minorHAnsi" w:hAnsiTheme="minorHAnsi" w:cstheme="minorHAnsi"/>
              </w:rPr>
            </w:pPr>
            <w:r w:rsidRPr="00CF7B03">
              <w:rPr>
                <w:rFonts w:asciiTheme="minorHAnsi" w:hAnsiTheme="minorHAnsi" w:cstheme="minorHAnsi"/>
              </w:rPr>
              <w:t>HRDLIČKA, Č., IŠTVÁNFYOVÁ, J., VÍTEK, L. (2010). Systémy účetnictví a evidence daňových příjmů vládních institucí. Politická ekonomie. 2010. Vol. 58, No. 2, str. 253-270. ISSN 0032-3233</w:t>
            </w:r>
          </w:p>
        </w:tc>
      </w:tr>
      <w:tr w:rsidR="00E575DB" w:rsidRPr="00CF7B03" w:rsidTr="005D4231">
        <w:tc>
          <w:tcPr>
            <w:tcW w:w="9285" w:type="dxa"/>
            <w:tcMar>
              <w:top w:w="0" w:type="dxa"/>
              <w:left w:w="108" w:type="dxa"/>
              <w:bottom w:w="0" w:type="dxa"/>
              <w:right w:w="108" w:type="dxa"/>
            </w:tcMar>
          </w:tcPr>
          <w:p w:rsidR="00E575DB" w:rsidRPr="00CF7B03" w:rsidRDefault="00E575DB" w:rsidP="00E925B9">
            <w:pPr>
              <w:pStyle w:val="Standard"/>
              <w:numPr>
                <w:ilvl w:val="0"/>
                <w:numId w:val="15"/>
              </w:numPr>
              <w:spacing w:after="60"/>
              <w:rPr>
                <w:rFonts w:asciiTheme="minorHAnsi" w:hAnsiTheme="minorHAnsi" w:cstheme="minorHAnsi"/>
              </w:rPr>
            </w:pPr>
            <w:r w:rsidRPr="00CF7B03">
              <w:rPr>
                <w:rFonts w:asciiTheme="minorHAnsi" w:hAnsiTheme="minorHAnsi" w:cstheme="minorHAnsi"/>
              </w:rPr>
              <w:t xml:space="preserve">CHIARINI, B., MARZANO, E. a SCHNEIDER, F. (2009). „Tax </w:t>
            </w:r>
            <w:proofErr w:type="spellStart"/>
            <w:r w:rsidRPr="00CF7B03">
              <w:rPr>
                <w:rFonts w:asciiTheme="minorHAnsi" w:hAnsiTheme="minorHAnsi" w:cstheme="minorHAnsi"/>
              </w:rPr>
              <w:t>Rates</w:t>
            </w:r>
            <w:proofErr w:type="spellEnd"/>
            <w:r w:rsidRPr="00CF7B03">
              <w:rPr>
                <w:rFonts w:asciiTheme="minorHAnsi" w:hAnsiTheme="minorHAnsi" w:cstheme="minorHAnsi"/>
              </w:rPr>
              <w:t xml:space="preserve"> and Tax </w:t>
            </w:r>
            <w:proofErr w:type="spellStart"/>
            <w:r w:rsidRPr="00CF7B03">
              <w:rPr>
                <w:rFonts w:asciiTheme="minorHAnsi" w:hAnsiTheme="minorHAnsi" w:cstheme="minorHAnsi"/>
              </w:rPr>
              <w:t>Evasion</w:t>
            </w:r>
            <w:proofErr w:type="spellEnd"/>
            <w:r w:rsidRPr="00CF7B03">
              <w:rPr>
                <w:rFonts w:asciiTheme="minorHAnsi" w:hAnsiTheme="minorHAnsi" w:cstheme="minorHAnsi"/>
              </w:rPr>
              <w:t xml:space="preserve">: An </w:t>
            </w:r>
            <w:proofErr w:type="spellStart"/>
            <w:r w:rsidRPr="00CF7B03">
              <w:rPr>
                <w:rFonts w:asciiTheme="minorHAnsi" w:hAnsiTheme="minorHAnsi" w:cstheme="minorHAnsi"/>
              </w:rPr>
              <w:t>Empirical</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Analysis</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of</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the</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Structural</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Aspects</w:t>
            </w:r>
            <w:proofErr w:type="spellEnd"/>
            <w:r w:rsidRPr="00CF7B03">
              <w:rPr>
                <w:rFonts w:asciiTheme="minorHAnsi" w:hAnsiTheme="minorHAnsi" w:cstheme="minorHAnsi"/>
              </w:rPr>
              <w:t xml:space="preserve"> and Long-Run </w:t>
            </w:r>
            <w:proofErr w:type="spellStart"/>
            <w:r w:rsidRPr="00CF7B03">
              <w:rPr>
                <w:rFonts w:asciiTheme="minorHAnsi" w:hAnsiTheme="minorHAnsi" w:cstheme="minorHAnsi"/>
              </w:rPr>
              <w:t>Characteristics</w:t>
            </w:r>
            <w:proofErr w:type="spellEnd"/>
            <w:r w:rsidRPr="00CF7B03">
              <w:rPr>
                <w:rFonts w:asciiTheme="minorHAnsi" w:hAnsiTheme="minorHAnsi" w:cstheme="minorHAnsi"/>
              </w:rPr>
              <w:t xml:space="preserve"> in Italy“. </w:t>
            </w:r>
            <w:r w:rsidRPr="00CF7B03">
              <w:rPr>
                <w:rFonts w:asciiTheme="minorHAnsi" w:hAnsiTheme="minorHAnsi" w:cstheme="minorHAnsi"/>
                <w:i/>
                <w:iCs/>
              </w:rPr>
              <w:t xml:space="preserve">SSRN </w:t>
            </w:r>
            <w:proofErr w:type="spellStart"/>
            <w:r w:rsidRPr="00CF7B03">
              <w:rPr>
                <w:rFonts w:asciiTheme="minorHAnsi" w:hAnsiTheme="minorHAnsi" w:cstheme="minorHAnsi"/>
                <w:i/>
                <w:iCs/>
              </w:rPr>
              <w:t>eLibrary</w:t>
            </w:r>
            <w:proofErr w:type="spellEnd"/>
            <w:r w:rsidRPr="00CF7B03">
              <w:rPr>
                <w:rFonts w:asciiTheme="minorHAnsi" w:hAnsiTheme="minorHAnsi" w:cstheme="minorHAnsi"/>
              </w:rPr>
              <w:t xml:space="preserve"> [citace: 18.12. 2011]. Dostupné z: http://papers.ssrn.com/sol3/papers.cfm?abstract_id=1417449.</w:t>
            </w:r>
          </w:p>
        </w:tc>
      </w:tr>
      <w:tr w:rsidR="00E575DB" w:rsidRPr="00CF7B03" w:rsidTr="005D4231">
        <w:tc>
          <w:tcPr>
            <w:tcW w:w="9285" w:type="dxa"/>
            <w:tcMar>
              <w:top w:w="0" w:type="dxa"/>
              <w:left w:w="108" w:type="dxa"/>
              <w:bottom w:w="0" w:type="dxa"/>
              <w:right w:w="108" w:type="dxa"/>
            </w:tcMar>
          </w:tcPr>
          <w:p w:rsidR="00E575DB" w:rsidRPr="00CF7B03" w:rsidRDefault="00E575DB" w:rsidP="00E925B9">
            <w:pPr>
              <w:pStyle w:val="Standard"/>
              <w:numPr>
                <w:ilvl w:val="0"/>
                <w:numId w:val="15"/>
              </w:numPr>
              <w:spacing w:after="60"/>
              <w:rPr>
                <w:rFonts w:asciiTheme="minorHAnsi" w:hAnsiTheme="minorHAnsi" w:cstheme="minorHAnsi"/>
              </w:rPr>
            </w:pPr>
            <w:r w:rsidRPr="00CF7B03">
              <w:rPr>
                <w:rFonts w:asciiTheme="minorHAnsi" w:hAnsiTheme="minorHAnsi" w:cstheme="minorHAnsi"/>
              </w:rPr>
              <w:t xml:space="preserve">CHRISTIE, E., HOLZNER, M. (2006), </w:t>
            </w:r>
            <w:proofErr w:type="spellStart"/>
            <w:r w:rsidRPr="00CF7B03">
              <w:rPr>
                <w:rFonts w:asciiTheme="minorHAnsi" w:hAnsiTheme="minorHAnsi" w:cstheme="minorHAnsi"/>
              </w:rPr>
              <w:t>What</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explains</w:t>
            </w:r>
            <w:proofErr w:type="spellEnd"/>
            <w:r w:rsidRPr="00CF7B03">
              <w:rPr>
                <w:rFonts w:asciiTheme="minorHAnsi" w:hAnsiTheme="minorHAnsi" w:cstheme="minorHAnsi"/>
              </w:rPr>
              <w:t xml:space="preserve"> Tax </w:t>
            </w:r>
            <w:proofErr w:type="spellStart"/>
            <w:r w:rsidRPr="00CF7B03">
              <w:rPr>
                <w:rFonts w:asciiTheme="minorHAnsi" w:hAnsiTheme="minorHAnsi" w:cstheme="minorHAnsi"/>
              </w:rPr>
              <w:t>Evasion</w:t>
            </w:r>
            <w:proofErr w:type="spellEnd"/>
            <w:r w:rsidRPr="00CF7B03">
              <w:rPr>
                <w:rFonts w:asciiTheme="minorHAnsi" w:hAnsiTheme="minorHAnsi" w:cstheme="minorHAnsi"/>
              </w:rPr>
              <w:t xml:space="preserve">? An </w:t>
            </w:r>
            <w:proofErr w:type="spellStart"/>
            <w:r w:rsidRPr="00CF7B03">
              <w:rPr>
                <w:rFonts w:asciiTheme="minorHAnsi" w:hAnsiTheme="minorHAnsi" w:cstheme="minorHAnsi"/>
              </w:rPr>
              <w:t>Empirical</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Assessment</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based</w:t>
            </w:r>
            <w:proofErr w:type="spellEnd"/>
            <w:r w:rsidRPr="00CF7B03">
              <w:rPr>
                <w:rFonts w:asciiTheme="minorHAnsi" w:hAnsiTheme="minorHAnsi" w:cstheme="minorHAnsi"/>
              </w:rPr>
              <w:t xml:space="preserve"> on </w:t>
            </w:r>
            <w:proofErr w:type="spellStart"/>
            <w:r w:rsidRPr="00CF7B03">
              <w:rPr>
                <w:rFonts w:asciiTheme="minorHAnsi" w:hAnsiTheme="minorHAnsi" w:cstheme="minorHAnsi"/>
              </w:rPr>
              <w:t>European</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Data.</w:t>
            </w:r>
            <w:r w:rsidRPr="00CF7B03">
              <w:rPr>
                <w:rFonts w:asciiTheme="minorHAnsi" w:hAnsiTheme="minorHAnsi" w:cstheme="minorHAnsi"/>
                <w:i/>
              </w:rPr>
              <w:t>WIIW</w:t>
            </w:r>
            <w:proofErr w:type="spellEnd"/>
            <w:r w:rsidRPr="00CF7B03">
              <w:rPr>
                <w:rFonts w:asciiTheme="minorHAnsi" w:hAnsiTheme="minorHAnsi" w:cstheme="minorHAnsi"/>
                <w:i/>
              </w:rPr>
              <w:t xml:space="preserve">, </w:t>
            </w:r>
            <w:proofErr w:type="spellStart"/>
            <w:r w:rsidRPr="00CF7B03">
              <w:rPr>
                <w:rFonts w:asciiTheme="minorHAnsi" w:hAnsiTheme="minorHAnsi" w:cstheme="minorHAnsi"/>
                <w:i/>
              </w:rPr>
              <w:t>Working</w:t>
            </w:r>
            <w:proofErr w:type="spellEnd"/>
            <w:r w:rsidRPr="00CF7B03">
              <w:rPr>
                <w:rFonts w:asciiTheme="minorHAnsi" w:hAnsiTheme="minorHAnsi" w:cstheme="minorHAnsi"/>
                <w:i/>
              </w:rPr>
              <w:t xml:space="preserve"> </w:t>
            </w:r>
            <w:proofErr w:type="spellStart"/>
            <w:r w:rsidRPr="00CF7B03">
              <w:rPr>
                <w:rFonts w:asciiTheme="minorHAnsi" w:hAnsiTheme="minorHAnsi" w:cstheme="minorHAnsi"/>
                <w:i/>
              </w:rPr>
              <w:t>Paper</w:t>
            </w:r>
            <w:proofErr w:type="spellEnd"/>
            <w:r w:rsidRPr="00CF7B03">
              <w:rPr>
                <w:rFonts w:asciiTheme="minorHAnsi" w:hAnsiTheme="minorHAnsi" w:cstheme="minorHAnsi"/>
                <w:i/>
              </w:rPr>
              <w:t xml:space="preserve"> </w:t>
            </w:r>
            <w:proofErr w:type="gramStart"/>
            <w:r w:rsidRPr="00CF7B03">
              <w:rPr>
                <w:rFonts w:asciiTheme="minorHAnsi" w:hAnsiTheme="minorHAnsi" w:cstheme="minorHAnsi"/>
                <w:i/>
              </w:rPr>
              <w:t>40</w:t>
            </w:r>
            <w:r w:rsidRPr="00CF7B03">
              <w:rPr>
                <w:rFonts w:asciiTheme="minorHAnsi" w:hAnsiTheme="minorHAnsi" w:cstheme="minorHAnsi"/>
              </w:rPr>
              <w:t xml:space="preserve">. </w:t>
            </w:r>
            <w:r w:rsidRPr="00CF7B03">
              <w:rPr>
                <w:rFonts w:asciiTheme="minorHAnsi" w:eastAsia="Times New Roman" w:hAnsiTheme="minorHAnsi" w:cstheme="minorHAnsi"/>
                <w:color w:val="000000"/>
                <w:lang w:eastAsia="cs-CZ"/>
              </w:rPr>
              <w:t xml:space="preserve"> </w:t>
            </w:r>
            <w:r w:rsidRPr="00CF7B03">
              <w:rPr>
                <w:rFonts w:asciiTheme="minorHAnsi" w:hAnsiTheme="minorHAnsi" w:cstheme="minorHAnsi"/>
              </w:rPr>
              <w:t>[</w:t>
            </w:r>
            <w:proofErr w:type="gramEnd"/>
            <w:r w:rsidRPr="00CF7B03">
              <w:rPr>
                <w:rFonts w:asciiTheme="minorHAnsi" w:hAnsiTheme="minorHAnsi" w:cstheme="minorHAnsi"/>
              </w:rPr>
              <w:t>citace: 18.8. 2012]. Dostupné z: http://www.wiiw.ac.at/pdf/wp40.pdf</w:t>
            </w:r>
          </w:p>
        </w:tc>
      </w:tr>
      <w:tr w:rsidR="00E575DB" w:rsidRPr="00CF7B03" w:rsidTr="005D4231">
        <w:tc>
          <w:tcPr>
            <w:tcW w:w="9285" w:type="dxa"/>
            <w:tcMar>
              <w:top w:w="0" w:type="dxa"/>
              <w:left w:w="108" w:type="dxa"/>
              <w:bottom w:w="0" w:type="dxa"/>
              <w:right w:w="108" w:type="dxa"/>
            </w:tcMar>
          </w:tcPr>
          <w:p w:rsidR="00E575DB" w:rsidRPr="00CF7B03" w:rsidRDefault="00E575DB" w:rsidP="00E925B9">
            <w:pPr>
              <w:numPr>
                <w:ilvl w:val="0"/>
                <w:numId w:val="15"/>
              </w:numPr>
              <w:spacing w:after="60"/>
              <w:rPr>
                <w:rFonts w:asciiTheme="minorHAnsi" w:hAnsiTheme="minorHAnsi" w:cstheme="minorHAnsi"/>
              </w:rPr>
            </w:pPr>
            <w:r w:rsidRPr="00CF7B03">
              <w:rPr>
                <w:rFonts w:asciiTheme="minorHAnsi" w:hAnsiTheme="minorHAnsi" w:cstheme="minorHAnsi"/>
              </w:rPr>
              <w:t>Kaufmann, Daniel. 2004. „</w:t>
            </w:r>
            <w:proofErr w:type="spellStart"/>
            <w:r w:rsidRPr="00CF7B03">
              <w:rPr>
                <w:rFonts w:asciiTheme="minorHAnsi" w:hAnsiTheme="minorHAnsi" w:cstheme="minorHAnsi"/>
              </w:rPr>
              <w:t>Corruption</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Governance</w:t>
            </w:r>
            <w:proofErr w:type="spellEnd"/>
            <w:r w:rsidRPr="00CF7B03">
              <w:rPr>
                <w:rFonts w:asciiTheme="minorHAnsi" w:hAnsiTheme="minorHAnsi" w:cstheme="minorHAnsi"/>
              </w:rPr>
              <w:t xml:space="preserve"> and </w:t>
            </w:r>
            <w:proofErr w:type="spellStart"/>
            <w:r w:rsidRPr="00CF7B03">
              <w:rPr>
                <w:rFonts w:asciiTheme="minorHAnsi" w:hAnsiTheme="minorHAnsi" w:cstheme="minorHAnsi"/>
              </w:rPr>
              <w:t>Security</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Challenges</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for</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the</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Rich</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Countries</w:t>
            </w:r>
            <w:proofErr w:type="spellEnd"/>
            <w:r w:rsidRPr="00CF7B03">
              <w:rPr>
                <w:rFonts w:asciiTheme="minorHAnsi" w:hAnsiTheme="minorHAnsi" w:cstheme="minorHAnsi"/>
              </w:rPr>
              <w:t xml:space="preserve"> and </w:t>
            </w:r>
            <w:proofErr w:type="spellStart"/>
            <w:r w:rsidRPr="00CF7B03">
              <w:rPr>
                <w:rFonts w:asciiTheme="minorHAnsi" w:hAnsiTheme="minorHAnsi" w:cstheme="minorHAnsi"/>
              </w:rPr>
              <w:t>the</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World</w:t>
            </w:r>
            <w:proofErr w:type="spellEnd"/>
            <w:r w:rsidRPr="00CF7B03">
              <w:rPr>
                <w:rFonts w:asciiTheme="minorHAnsi" w:hAnsiTheme="minorHAnsi" w:cstheme="minorHAnsi"/>
              </w:rPr>
              <w:t xml:space="preserve">“. </w:t>
            </w:r>
            <w:r w:rsidRPr="00CF7B03">
              <w:rPr>
                <w:rFonts w:asciiTheme="minorHAnsi" w:hAnsiTheme="minorHAnsi" w:cstheme="minorHAnsi"/>
                <w:i/>
                <w:iCs/>
              </w:rPr>
              <w:t xml:space="preserve">SSRN </w:t>
            </w:r>
            <w:proofErr w:type="spellStart"/>
            <w:r w:rsidRPr="00CF7B03">
              <w:rPr>
                <w:rFonts w:asciiTheme="minorHAnsi" w:hAnsiTheme="minorHAnsi" w:cstheme="minorHAnsi"/>
                <w:i/>
                <w:iCs/>
              </w:rPr>
              <w:t>eLibrary</w:t>
            </w:r>
            <w:proofErr w:type="spellEnd"/>
            <w:r w:rsidRPr="00CF7B03">
              <w:rPr>
                <w:rFonts w:asciiTheme="minorHAnsi" w:hAnsiTheme="minorHAnsi" w:cstheme="minorHAnsi"/>
              </w:rPr>
              <w:t xml:space="preserve"> (říjen). http://papers.ssrn.com/sol3/papers.cfm?abstract_id=605801.</w:t>
            </w:r>
          </w:p>
        </w:tc>
      </w:tr>
      <w:tr w:rsidR="00E575DB" w:rsidRPr="00CF7B03" w:rsidTr="005D4231">
        <w:tc>
          <w:tcPr>
            <w:tcW w:w="9285" w:type="dxa"/>
            <w:tcMar>
              <w:top w:w="0" w:type="dxa"/>
              <w:left w:w="108" w:type="dxa"/>
              <w:bottom w:w="0" w:type="dxa"/>
              <w:right w:w="108" w:type="dxa"/>
            </w:tcMar>
          </w:tcPr>
          <w:p w:rsidR="00E575DB" w:rsidRPr="00CF7B03" w:rsidRDefault="00E575DB" w:rsidP="00E925B9">
            <w:pPr>
              <w:pStyle w:val="Bibliografie"/>
              <w:numPr>
                <w:ilvl w:val="0"/>
                <w:numId w:val="15"/>
              </w:numPr>
              <w:spacing w:after="60"/>
              <w:rPr>
                <w:rFonts w:asciiTheme="minorHAnsi" w:hAnsiTheme="minorHAnsi" w:cstheme="minorHAnsi"/>
              </w:rPr>
            </w:pPr>
            <w:r w:rsidRPr="00CF7B03">
              <w:rPr>
                <w:rFonts w:asciiTheme="minorHAnsi" w:hAnsiTheme="minorHAnsi" w:cstheme="minorHAnsi"/>
              </w:rPr>
              <w:t xml:space="preserve">Kaufmann, Daniel, </w:t>
            </w:r>
            <w:proofErr w:type="spellStart"/>
            <w:r w:rsidRPr="00CF7B03">
              <w:rPr>
                <w:rFonts w:asciiTheme="minorHAnsi" w:hAnsiTheme="minorHAnsi" w:cstheme="minorHAnsi"/>
              </w:rPr>
              <w:t>Aart</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Kraay</w:t>
            </w:r>
            <w:proofErr w:type="spellEnd"/>
            <w:r w:rsidRPr="00CF7B03">
              <w:rPr>
                <w:rFonts w:asciiTheme="minorHAnsi" w:hAnsiTheme="minorHAnsi" w:cstheme="minorHAnsi"/>
              </w:rPr>
              <w:t xml:space="preserve">, a Massimo </w:t>
            </w:r>
            <w:proofErr w:type="spellStart"/>
            <w:r w:rsidRPr="00CF7B03">
              <w:rPr>
                <w:rFonts w:asciiTheme="minorHAnsi" w:hAnsiTheme="minorHAnsi" w:cstheme="minorHAnsi"/>
              </w:rPr>
              <w:t>Mastruzzi</w:t>
            </w:r>
            <w:proofErr w:type="spellEnd"/>
            <w:r w:rsidRPr="00CF7B03">
              <w:rPr>
                <w:rFonts w:asciiTheme="minorHAnsi" w:hAnsiTheme="minorHAnsi" w:cstheme="minorHAnsi"/>
              </w:rPr>
              <w:t>. 2009. „</w:t>
            </w:r>
            <w:proofErr w:type="spellStart"/>
            <w:r w:rsidRPr="00CF7B03">
              <w:rPr>
                <w:rFonts w:asciiTheme="minorHAnsi" w:hAnsiTheme="minorHAnsi" w:cstheme="minorHAnsi"/>
              </w:rPr>
              <w:t>Governance</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Matters</w:t>
            </w:r>
            <w:proofErr w:type="spellEnd"/>
            <w:r w:rsidRPr="00CF7B03">
              <w:rPr>
                <w:rFonts w:asciiTheme="minorHAnsi" w:hAnsiTheme="minorHAnsi" w:cstheme="minorHAnsi"/>
              </w:rPr>
              <w:t xml:space="preserve"> VIII: </w:t>
            </w:r>
            <w:proofErr w:type="spellStart"/>
            <w:r w:rsidRPr="00CF7B03">
              <w:rPr>
                <w:rFonts w:asciiTheme="minorHAnsi" w:hAnsiTheme="minorHAnsi" w:cstheme="minorHAnsi"/>
              </w:rPr>
              <w:t>Aggregate</w:t>
            </w:r>
            <w:proofErr w:type="spellEnd"/>
            <w:r w:rsidRPr="00CF7B03">
              <w:rPr>
                <w:rFonts w:asciiTheme="minorHAnsi" w:hAnsiTheme="minorHAnsi" w:cstheme="minorHAnsi"/>
              </w:rPr>
              <w:t xml:space="preserve"> and </w:t>
            </w:r>
            <w:proofErr w:type="spellStart"/>
            <w:r w:rsidRPr="00CF7B03">
              <w:rPr>
                <w:rFonts w:asciiTheme="minorHAnsi" w:hAnsiTheme="minorHAnsi" w:cstheme="minorHAnsi"/>
              </w:rPr>
              <w:t>Individual</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Governance</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Indicators</w:t>
            </w:r>
            <w:proofErr w:type="spellEnd"/>
            <w:r w:rsidRPr="00CF7B03">
              <w:rPr>
                <w:rFonts w:asciiTheme="minorHAnsi" w:hAnsiTheme="minorHAnsi" w:cstheme="minorHAnsi"/>
              </w:rPr>
              <w:t xml:space="preserve">, 1996-2008“. </w:t>
            </w:r>
            <w:r w:rsidRPr="00CF7B03">
              <w:rPr>
                <w:rFonts w:asciiTheme="minorHAnsi" w:hAnsiTheme="minorHAnsi" w:cstheme="minorHAnsi"/>
                <w:i/>
                <w:iCs/>
              </w:rPr>
              <w:t xml:space="preserve">SSRN </w:t>
            </w:r>
            <w:proofErr w:type="spellStart"/>
            <w:r w:rsidRPr="00CF7B03">
              <w:rPr>
                <w:rFonts w:asciiTheme="minorHAnsi" w:hAnsiTheme="minorHAnsi" w:cstheme="minorHAnsi"/>
                <w:i/>
                <w:iCs/>
              </w:rPr>
              <w:t>eLibrary</w:t>
            </w:r>
            <w:proofErr w:type="spellEnd"/>
            <w:r w:rsidRPr="00CF7B03">
              <w:rPr>
                <w:rFonts w:asciiTheme="minorHAnsi" w:hAnsiTheme="minorHAnsi" w:cstheme="minorHAnsi"/>
              </w:rPr>
              <w:t xml:space="preserve"> (červen 29). http://papers.ssrn.com/sol3/papers.cfm?abstract_id=1424591.</w:t>
            </w:r>
          </w:p>
        </w:tc>
      </w:tr>
      <w:tr w:rsidR="00E575DB" w:rsidRPr="00CF7B03" w:rsidTr="005D4231">
        <w:tc>
          <w:tcPr>
            <w:tcW w:w="9285" w:type="dxa"/>
            <w:tcMar>
              <w:top w:w="0" w:type="dxa"/>
              <w:left w:w="108" w:type="dxa"/>
              <w:bottom w:w="0" w:type="dxa"/>
              <w:right w:w="108" w:type="dxa"/>
            </w:tcMar>
          </w:tcPr>
          <w:p w:rsidR="00E575DB" w:rsidRPr="00CF7B03" w:rsidRDefault="00E575DB" w:rsidP="00E925B9">
            <w:pPr>
              <w:numPr>
                <w:ilvl w:val="0"/>
                <w:numId w:val="15"/>
              </w:numPr>
              <w:spacing w:after="60"/>
              <w:rPr>
                <w:rFonts w:asciiTheme="minorHAnsi" w:hAnsiTheme="minorHAnsi" w:cstheme="minorHAnsi"/>
              </w:rPr>
            </w:pPr>
            <w:proofErr w:type="spellStart"/>
            <w:r w:rsidRPr="00CF7B03">
              <w:rPr>
                <w:rFonts w:asciiTheme="minorHAnsi" w:hAnsiTheme="minorHAnsi" w:cstheme="minorHAnsi"/>
              </w:rPr>
              <w:t>Knack</w:t>
            </w:r>
            <w:proofErr w:type="spellEnd"/>
            <w:r w:rsidRPr="00CF7B03">
              <w:rPr>
                <w:rFonts w:asciiTheme="minorHAnsi" w:hAnsiTheme="minorHAnsi" w:cstheme="minorHAnsi"/>
              </w:rPr>
              <w:t xml:space="preserve">, Stephen. 2001. „Aid Dependence and </w:t>
            </w:r>
            <w:proofErr w:type="spellStart"/>
            <w:r w:rsidRPr="00CF7B03">
              <w:rPr>
                <w:rFonts w:asciiTheme="minorHAnsi" w:hAnsiTheme="minorHAnsi" w:cstheme="minorHAnsi"/>
              </w:rPr>
              <w:t>the</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Quality</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of</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Governance</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Cross</w:t>
            </w:r>
            <w:proofErr w:type="spellEnd"/>
            <w:r w:rsidRPr="00CF7B03">
              <w:rPr>
                <w:rFonts w:asciiTheme="minorHAnsi" w:hAnsiTheme="minorHAnsi" w:cstheme="minorHAnsi"/>
              </w:rPr>
              <w:t xml:space="preserve">-Country </w:t>
            </w:r>
            <w:proofErr w:type="spellStart"/>
            <w:r w:rsidRPr="00CF7B03">
              <w:rPr>
                <w:rFonts w:asciiTheme="minorHAnsi" w:hAnsiTheme="minorHAnsi" w:cstheme="minorHAnsi"/>
              </w:rPr>
              <w:t>Empirical</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Tests</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i/>
                <w:iCs/>
              </w:rPr>
              <w:t>Southern</w:t>
            </w:r>
            <w:proofErr w:type="spellEnd"/>
            <w:r w:rsidRPr="00CF7B03">
              <w:rPr>
                <w:rFonts w:asciiTheme="minorHAnsi" w:hAnsiTheme="minorHAnsi" w:cstheme="minorHAnsi"/>
                <w:i/>
                <w:iCs/>
              </w:rPr>
              <w:t xml:space="preserve"> </w:t>
            </w:r>
            <w:proofErr w:type="spellStart"/>
            <w:r w:rsidRPr="00CF7B03">
              <w:rPr>
                <w:rFonts w:asciiTheme="minorHAnsi" w:hAnsiTheme="minorHAnsi" w:cstheme="minorHAnsi"/>
                <w:i/>
                <w:iCs/>
              </w:rPr>
              <w:t>Economic</w:t>
            </w:r>
            <w:proofErr w:type="spellEnd"/>
            <w:r w:rsidRPr="00CF7B03">
              <w:rPr>
                <w:rFonts w:asciiTheme="minorHAnsi" w:hAnsiTheme="minorHAnsi" w:cstheme="minorHAnsi"/>
                <w:i/>
                <w:iCs/>
              </w:rPr>
              <w:t xml:space="preserve"> </w:t>
            </w:r>
            <w:proofErr w:type="spellStart"/>
            <w:r w:rsidRPr="00CF7B03">
              <w:rPr>
                <w:rFonts w:asciiTheme="minorHAnsi" w:hAnsiTheme="minorHAnsi" w:cstheme="minorHAnsi"/>
                <w:i/>
                <w:iCs/>
              </w:rPr>
              <w:t>Journal</w:t>
            </w:r>
            <w:proofErr w:type="spellEnd"/>
            <w:r w:rsidRPr="00CF7B03">
              <w:rPr>
                <w:rFonts w:asciiTheme="minorHAnsi" w:hAnsiTheme="minorHAnsi" w:cstheme="minorHAnsi"/>
              </w:rPr>
              <w:t xml:space="preserve"> 68 (2) (říjen): 310. doi:10.2307/1061596</w:t>
            </w:r>
          </w:p>
        </w:tc>
      </w:tr>
      <w:tr w:rsidR="006110B0" w:rsidRPr="00CF7B03" w:rsidTr="00CA036E">
        <w:tc>
          <w:tcPr>
            <w:tcW w:w="9285" w:type="dxa"/>
            <w:tcMar>
              <w:top w:w="0" w:type="dxa"/>
              <w:left w:w="108" w:type="dxa"/>
              <w:bottom w:w="0" w:type="dxa"/>
              <w:right w:w="108" w:type="dxa"/>
            </w:tcMar>
          </w:tcPr>
          <w:p w:rsidR="006110B0" w:rsidRPr="00CF7B03" w:rsidRDefault="006110B0" w:rsidP="00E925B9">
            <w:pPr>
              <w:numPr>
                <w:ilvl w:val="0"/>
                <w:numId w:val="15"/>
              </w:numPr>
              <w:spacing w:after="60"/>
              <w:rPr>
                <w:rFonts w:asciiTheme="minorHAnsi" w:hAnsiTheme="minorHAnsi" w:cstheme="minorHAnsi"/>
              </w:rPr>
            </w:pPr>
            <w:r w:rsidRPr="00CF7B03">
              <w:rPr>
                <w:rFonts w:asciiTheme="minorHAnsi" w:hAnsiTheme="minorHAnsi" w:cstheme="minorHAnsi"/>
              </w:rPr>
              <w:t xml:space="preserve">KUBÁTOVÁ, K. (2010). </w:t>
            </w:r>
            <w:r w:rsidRPr="00CF7B03">
              <w:rPr>
                <w:rFonts w:asciiTheme="minorHAnsi" w:hAnsiTheme="minorHAnsi" w:cstheme="minorHAnsi"/>
                <w:i/>
              </w:rPr>
              <w:t>Daňová teorie a politika 5</w:t>
            </w:r>
            <w:r w:rsidRPr="00CF7B03">
              <w:rPr>
                <w:rFonts w:asciiTheme="minorHAnsi" w:hAnsiTheme="minorHAnsi" w:cstheme="minorHAnsi"/>
              </w:rPr>
              <w:t xml:space="preserve">., aktualizované vydání. Praha: </w:t>
            </w:r>
            <w:proofErr w:type="spellStart"/>
            <w:r w:rsidRPr="00CF7B03">
              <w:rPr>
                <w:rFonts w:asciiTheme="minorHAnsi" w:hAnsiTheme="minorHAnsi" w:cstheme="minorHAnsi"/>
              </w:rPr>
              <w:t>Wolters</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Kluwer</w:t>
            </w:r>
            <w:proofErr w:type="spellEnd"/>
            <w:r w:rsidRPr="00CF7B03">
              <w:rPr>
                <w:rFonts w:asciiTheme="minorHAnsi" w:hAnsiTheme="minorHAnsi" w:cstheme="minorHAnsi"/>
              </w:rPr>
              <w:t xml:space="preserve"> ČR, 276 s.</w:t>
            </w:r>
          </w:p>
        </w:tc>
      </w:tr>
      <w:tr w:rsidR="00E575DB" w:rsidRPr="00CF7B03" w:rsidTr="005D4231">
        <w:tc>
          <w:tcPr>
            <w:tcW w:w="9285" w:type="dxa"/>
            <w:tcMar>
              <w:top w:w="0" w:type="dxa"/>
              <w:left w:w="108" w:type="dxa"/>
              <w:bottom w:w="0" w:type="dxa"/>
              <w:right w:w="108" w:type="dxa"/>
            </w:tcMar>
          </w:tcPr>
          <w:p w:rsidR="00E575DB" w:rsidRPr="00CF7B03" w:rsidRDefault="00E575DB" w:rsidP="00E925B9">
            <w:pPr>
              <w:pStyle w:val="Standard"/>
              <w:numPr>
                <w:ilvl w:val="0"/>
                <w:numId w:val="15"/>
              </w:numPr>
              <w:spacing w:after="60"/>
              <w:rPr>
                <w:rFonts w:asciiTheme="minorHAnsi" w:hAnsiTheme="minorHAnsi" w:cstheme="minorHAnsi"/>
              </w:rPr>
            </w:pPr>
            <w:r w:rsidRPr="00CF7B03">
              <w:rPr>
                <w:rFonts w:asciiTheme="minorHAnsi" w:hAnsiTheme="minorHAnsi" w:cstheme="minorHAnsi"/>
              </w:rPr>
              <w:t>MARIGLIANI</w:t>
            </w:r>
            <w:r w:rsidR="001A2D7E" w:rsidRPr="00CF7B03">
              <w:rPr>
                <w:rFonts w:asciiTheme="minorHAnsi" w:hAnsiTheme="minorHAnsi" w:cstheme="minorHAnsi"/>
              </w:rPr>
              <w:t>,</w:t>
            </w:r>
            <w:r w:rsidRPr="00CF7B03">
              <w:rPr>
                <w:rFonts w:asciiTheme="minorHAnsi" w:hAnsiTheme="minorHAnsi" w:cstheme="minorHAnsi"/>
              </w:rPr>
              <w:t xml:space="preserve"> M., PISANI</w:t>
            </w:r>
            <w:r w:rsidR="001A2D7E" w:rsidRPr="00CF7B03">
              <w:rPr>
                <w:rFonts w:asciiTheme="minorHAnsi" w:hAnsiTheme="minorHAnsi" w:cstheme="minorHAnsi"/>
              </w:rPr>
              <w:t>,</w:t>
            </w:r>
            <w:r w:rsidRPr="00CF7B03">
              <w:rPr>
                <w:rFonts w:asciiTheme="minorHAnsi" w:hAnsiTheme="minorHAnsi" w:cstheme="minorHAnsi"/>
              </w:rPr>
              <w:t xml:space="preserve"> S. (2007), </w:t>
            </w:r>
            <w:proofErr w:type="spellStart"/>
            <w:r w:rsidRPr="00CF7B03">
              <w:rPr>
                <w:rFonts w:asciiTheme="minorHAnsi" w:hAnsiTheme="minorHAnsi" w:cstheme="minorHAnsi"/>
              </w:rPr>
              <w:t>Le</w:t>
            </w:r>
            <w:proofErr w:type="spellEnd"/>
            <w:r w:rsidRPr="00CF7B03">
              <w:rPr>
                <w:rFonts w:asciiTheme="minorHAnsi" w:hAnsiTheme="minorHAnsi" w:cstheme="minorHAnsi"/>
              </w:rPr>
              <w:t xml:space="preserve"> basi </w:t>
            </w:r>
            <w:proofErr w:type="spellStart"/>
            <w:r w:rsidRPr="00CF7B03">
              <w:rPr>
                <w:rFonts w:asciiTheme="minorHAnsi" w:hAnsiTheme="minorHAnsi" w:cstheme="minorHAnsi"/>
              </w:rPr>
              <w:t>imponibili</w:t>
            </w:r>
            <w:proofErr w:type="spellEnd"/>
            <w:r w:rsidRPr="00CF7B03">
              <w:rPr>
                <w:rFonts w:asciiTheme="minorHAnsi" w:hAnsiTheme="minorHAnsi" w:cstheme="minorHAnsi"/>
              </w:rPr>
              <w:t xml:space="preserve"> IVA. </w:t>
            </w:r>
            <w:proofErr w:type="spellStart"/>
            <w:r w:rsidRPr="00CF7B03">
              <w:rPr>
                <w:rFonts w:asciiTheme="minorHAnsi" w:hAnsiTheme="minorHAnsi" w:cstheme="minorHAnsi"/>
              </w:rPr>
              <w:t>Aspetti</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generali</w:t>
            </w:r>
            <w:proofErr w:type="spellEnd"/>
            <w:r w:rsidRPr="00CF7B03">
              <w:rPr>
                <w:rFonts w:asciiTheme="minorHAnsi" w:hAnsiTheme="minorHAnsi" w:cstheme="minorHAnsi"/>
              </w:rPr>
              <w:t xml:space="preserve"> e </w:t>
            </w:r>
            <w:proofErr w:type="spellStart"/>
            <w:r w:rsidRPr="00CF7B03">
              <w:rPr>
                <w:rFonts w:asciiTheme="minorHAnsi" w:hAnsiTheme="minorHAnsi" w:cstheme="minorHAnsi"/>
              </w:rPr>
              <w:t>principali</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risultatiper</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il</w:t>
            </w:r>
            <w:proofErr w:type="spellEnd"/>
            <w:r w:rsidRPr="00CF7B03">
              <w:rPr>
                <w:rFonts w:asciiTheme="minorHAnsi" w:hAnsiTheme="minorHAnsi" w:cstheme="minorHAnsi"/>
              </w:rPr>
              <w:t xml:space="preserve"> periodo 1980-2004, </w:t>
            </w:r>
            <w:proofErr w:type="spellStart"/>
            <w:r w:rsidRPr="00CF7B03">
              <w:rPr>
                <w:rFonts w:asciiTheme="minorHAnsi" w:hAnsiTheme="minorHAnsi" w:cstheme="minorHAnsi"/>
              </w:rPr>
              <w:t>Documenti</w:t>
            </w:r>
            <w:proofErr w:type="spellEnd"/>
            <w:r w:rsidRPr="00CF7B03">
              <w:rPr>
                <w:rFonts w:asciiTheme="minorHAnsi" w:hAnsiTheme="minorHAnsi" w:cstheme="minorHAnsi"/>
              </w:rPr>
              <w:t xml:space="preserve"> di </w:t>
            </w:r>
            <w:proofErr w:type="spellStart"/>
            <w:r w:rsidRPr="00CF7B03">
              <w:rPr>
                <w:rFonts w:asciiTheme="minorHAnsi" w:hAnsiTheme="minorHAnsi" w:cstheme="minorHAnsi"/>
              </w:rPr>
              <w:t>lavoro</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dell’Ufficio</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Studi</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Agenzia</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delle</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Entrate</w:t>
            </w:r>
            <w:proofErr w:type="spellEnd"/>
            <w:r w:rsidRPr="00CF7B03">
              <w:rPr>
                <w:rFonts w:asciiTheme="minorHAnsi" w:hAnsiTheme="minorHAnsi" w:cstheme="minorHAnsi"/>
              </w:rPr>
              <w:t>, n.7.</w:t>
            </w:r>
          </w:p>
        </w:tc>
      </w:tr>
      <w:tr w:rsidR="00E575DB" w:rsidRPr="00CF7B03" w:rsidTr="005D4231">
        <w:tc>
          <w:tcPr>
            <w:tcW w:w="9285" w:type="dxa"/>
            <w:tcMar>
              <w:top w:w="0" w:type="dxa"/>
              <w:left w:w="108" w:type="dxa"/>
              <w:bottom w:w="0" w:type="dxa"/>
              <w:right w:w="108" w:type="dxa"/>
            </w:tcMar>
          </w:tcPr>
          <w:p w:rsidR="00E575DB" w:rsidRPr="00CF7B03" w:rsidRDefault="00E575DB" w:rsidP="00E925B9">
            <w:pPr>
              <w:pStyle w:val="Standard"/>
              <w:numPr>
                <w:ilvl w:val="0"/>
                <w:numId w:val="15"/>
              </w:numPr>
              <w:spacing w:after="60"/>
              <w:rPr>
                <w:rFonts w:asciiTheme="minorHAnsi" w:hAnsiTheme="minorHAnsi" w:cstheme="minorHAnsi"/>
                <w:bCs/>
              </w:rPr>
            </w:pPr>
            <w:r w:rsidRPr="00CF7B03">
              <w:rPr>
                <w:rFonts w:asciiTheme="minorHAnsi" w:hAnsiTheme="minorHAnsi" w:cstheme="minorHAnsi"/>
                <w:bCs/>
              </w:rPr>
              <w:t xml:space="preserve">NOVYSEDLAK, V., PALKOVICOVA, J. (2012). </w:t>
            </w:r>
            <w:proofErr w:type="spellStart"/>
            <w:r w:rsidRPr="00CF7B03">
              <w:rPr>
                <w:rFonts w:asciiTheme="minorHAnsi" w:hAnsiTheme="minorHAnsi" w:cstheme="minorHAnsi"/>
                <w:bCs/>
                <w:i/>
              </w:rPr>
              <w:t>The</w:t>
            </w:r>
            <w:proofErr w:type="spellEnd"/>
            <w:r w:rsidRPr="00CF7B03">
              <w:rPr>
                <w:rFonts w:asciiTheme="minorHAnsi" w:hAnsiTheme="minorHAnsi" w:cstheme="minorHAnsi"/>
                <w:bCs/>
                <w:i/>
              </w:rPr>
              <w:t xml:space="preserve"> </w:t>
            </w:r>
            <w:proofErr w:type="spellStart"/>
            <w:r w:rsidRPr="00CF7B03">
              <w:rPr>
                <w:rFonts w:asciiTheme="minorHAnsi" w:hAnsiTheme="minorHAnsi" w:cstheme="minorHAnsi"/>
                <w:bCs/>
                <w:i/>
              </w:rPr>
              <w:t>estimate</w:t>
            </w:r>
            <w:proofErr w:type="spellEnd"/>
            <w:r w:rsidRPr="00CF7B03">
              <w:rPr>
                <w:rFonts w:asciiTheme="minorHAnsi" w:hAnsiTheme="minorHAnsi" w:cstheme="minorHAnsi"/>
                <w:bCs/>
                <w:i/>
              </w:rPr>
              <w:t xml:space="preserve"> </w:t>
            </w:r>
            <w:proofErr w:type="spellStart"/>
            <w:r w:rsidRPr="00CF7B03">
              <w:rPr>
                <w:rFonts w:asciiTheme="minorHAnsi" w:hAnsiTheme="minorHAnsi" w:cstheme="minorHAnsi"/>
                <w:bCs/>
                <w:i/>
              </w:rPr>
              <w:t>of</w:t>
            </w:r>
            <w:proofErr w:type="spellEnd"/>
            <w:r w:rsidRPr="00CF7B03">
              <w:rPr>
                <w:rFonts w:asciiTheme="minorHAnsi" w:hAnsiTheme="minorHAnsi" w:cstheme="minorHAnsi"/>
                <w:bCs/>
                <w:i/>
              </w:rPr>
              <w:t xml:space="preserve"> </w:t>
            </w:r>
            <w:proofErr w:type="spellStart"/>
            <w:r w:rsidRPr="00CF7B03">
              <w:rPr>
                <w:rFonts w:asciiTheme="minorHAnsi" w:hAnsiTheme="minorHAnsi" w:cstheme="minorHAnsi"/>
                <w:bCs/>
                <w:i/>
              </w:rPr>
              <w:t>the</w:t>
            </w:r>
            <w:proofErr w:type="spellEnd"/>
            <w:r w:rsidRPr="00CF7B03">
              <w:rPr>
                <w:rFonts w:asciiTheme="minorHAnsi" w:hAnsiTheme="minorHAnsi" w:cstheme="minorHAnsi"/>
                <w:bCs/>
                <w:i/>
              </w:rPr>
              <w:t xml:space="preserve"> </w:t>
            </w:r>
            <w:proofErr w:type="spellStart"/>
            <w:r w:rsidRPr="00CF7B03">
              <w:rPr>
                <w:rFonts w:asciiTheme="minorHAnsi" w:hAnsiTheme="minorHAnsi" w:cstheme="minorHAnsi"/>
                <w:bCs/>
                <w:i/>
              </w:rPr>
              <w:t>value</w:t>
            </w:r>
            <w:proofErr w:type="spellEnd"/>
            <w:r w:rsidRPr="00CF7B03">
              <w:rPr>
                <w:rFonts w:asciiTheme="minorHAnsi" w:hAnsiTheme="minorHAnsi" w:cstheme="minorHAnsi"/>
                <w:bCs/>
                <w:i/>
              </w:rPr>
              <w:t xml:space="preserve"> </w:t>
            </w:r>
            <w:proofErr w:type="spellStart"/>
            <w:r w:rsidRPr="00CF7B03">
              <w:rPr>
                <w:rFonts w:asciiTheme="minorHAnsi" w:hAnsiTheme="minorHAnsi" w:cstheme="minorHAnsi"/>
                <w:bCs/>
                <w:i/>
              </w:rPr>
              <w:t>added</w:t>
            </w:r>
            <w:proofErr w:type="spellEnd"/>
            <w:r w:rsidRPr="00CF7B03">
              <w:rPr>
                <w:rFonts w:asciiTheme="minorHAnsi" w:hAnsiTheme="minorHAnsi" w:cstheme="minorHAnsi"/>
                <w:bCs/>
                <w:i/>
              </w:rPr>
              <w:t xml:space="preserve"> tax </w:t>
            </w:r>
            <w:proofErr w:type="spellStart"/>
            <w:r w:rsidRPr="00CF7B03">
              <w:rPr>
                <w:rFonts w:asciiTheme="minorHAnsi" w:hAnsiTheme="minorHAnsi" w:cstheme="minorHAnsi"/>
                <w:bCs/>
                <w:i/>
              </w:rPr>
              <w:t>revenue</w:t>
            </w:r>
            <w:proofErr w:type="spellEnd"/>
            <w:r w:rsidRPr="00CF7B03">
              <w:rPr>
                <w:rFonts w:asciiTheme="minorHAnsi" w:hAnsiTheme="minorHAnsi" w:cstheme="minorHAnsi"/>
                <w:bCs/>
                <w:i/>
              </w:rPr>
              <w:t xml:space="preserve"> </w:t>
            </w:r>
            <w:proofErr w:type="spellStart"/>
            <w:r w:rsidRPr="00CF7B03">
              <w:rPr>
                <w:rFonts w:asciiTheme="minorHAnsi" w:hAnsiTheme="minorHAnsi" w:cstheme="minorHAnsi"/>
                <w:bCs/>
                <w:i/>
              </w:rPr>
              <w:t>loss</w:t>
            </w:r>
            <w:proofErr w:type="spellEnd"/>
            <w:r w:rsidRPr="00CF7B03">
              <w:rPr>
                <w:rFonts w:asciiTheme="minorHAnsi" w:hAnsiTheme="minorHAnsi" w:cstheme="minorHAnsi"/>
                <w:bCs/>
                <w:i/>
              </w:rPr>
              <w:t>.</w:t>
            </w:r>
            <w:r w:rsidRPr="00CF7B03">
              <w:rPr>
                <w:rFonts w:asciiTheme="minorHAnsi" w:hAnsiTheme="minorHAnsi" w:cstheme="minorHAnsi"/>
                <w:bCs/>
              </w:rPr>
              <w:t xml:space="preserve"> </w:t>
            </w:r>
            <w:proofErr w:type="spellStart"/>
            <w:r w:rsidRPr="00CF7B03">
              <w:rPr>
                <w:rFonts w:asciiTheme="minorHAnsi" w:hAnsiTheme="minorHAnsi" w:cstheme="minorHAnsi"/>
                <w:bCs/>
              </w:rPr>
              <w:t>Institure</w:t>
            </w:r>
            <w:proofErr w:type="spellEnd"/>
            <w:r w:rsidRPr="00CF7B03">
              <w:rPr>
                <w:rFonts w:asciiTheme="minorHAnsi" w:hAnsiTheme="minorHAnsi" w:cstheme="minorHAnsi"/>
                <w:bCs/>
              </w:rPr>
              <w:t xml:space="preserve"> </w:t>
            </w:r>
            <w:proofErr w:type="spellStart"/>
            <w:r w:rsidRPr="00CF7B03">
              <w:rPr>
                <w:rFonts w:asciiTheme="minorHAnsi" w:hAnsiTheme="minorHAnsi" w:cstheme="minorHAnsi"/>
                <w:bCs/>
              </w:rPr>
              <w:t>for</w:t>
            </w:r>
            <w:proofErr w:type="spellEnd"/>
            <w:r w:rsidRPr="00CF7B03">
              <w:rPr>
                <w:rFonts w:asciiTheme="minorHAnsi" w:hAnsiTheme="minorHAnsi" w:cstheme="minorHAnsi"/>
                <w:bCs/>
              </w:rPr>
              <w:t xml:space="preserve"> </w:t>
            </w:r>
            <w:proofErr w:type="spellStart"/>
            <w:r w:rsidRPr="00CF7B03">
              <w:rPr>
                <w:rFonts w:asciiTheme="minorHAnsi" w:hAnsiTheme="minorHAnsi" w:cstheme="minorHAnsi"/>
                <w:bCs/>
              </w:rPr>
              <w:t>Financial</w:t>
            </w:r>
            <w:proofErr w:type="spellEnd"/>
            <w:r w:rsidRPr="00CF7B03">
              <w:rPr>
                <w:rFonts w:asciiTheme="minorHAnsi" w:hAnsiTheme="minorHAnsi" w:cstheme="minorHAnsi"/>
                <w:bCs/>
              </w:rPr>
              <w:t xml:space="preserve"> </w:t>
            </w:r>
            <w:proofErr w:type="spellStart"/>
            <w:r w:rsidRPr="00CF7B03">
              <w:rPr>
                <w:rFonts w:asciiTheme="minorHAnsi" w:hAnsiTheme="minorHAnsi" w:cstheme="minorHAnsi"/>
                <w:bCs/>
              </w:rPr>
              <w:t>Policy</w:t>
            </w:r>
            <w:proofErr w:type="spellEnd"/>
            <w:r w:rsidRPr="00CF7B03">
              <w:rPr>
                <w:rFonts w:asciiTheme="minorHAnsi" w:hAnsiTheme="minorHAnsi" w:cstheme="minorHAnsi"/>
                <w:bCs/>
              </w:rPr>
              <w:t xml:space="preserve">, </w:t>
            </w:r>
            <w:proofErr w:type="spellStart"/>
            <w:r w:rsidRPr="00CF7B03">
              <w:rPr>
                <w:rFonts w:asciiTheme="minorHAnsi" w:hAnsiTheme="minorHAnsi" w:cstheme="minorHAnsi"/>
                <w:bCs/>
              </w:rPr>
              <w:t>The</w:t>
            </w:r>
            <w:proofErr w:type="spellEnd"/>
            <w:r w:rsidRPr="00CF7B03">
              <w:rPr>
                <w:rFonts w:asciiTheme="minorHAnsi" w:hAnsiTheme="minorHAnsi" w:cstheme="minorHAnsi"/>
                <w:bCs/>
              </w:rPr>
              <w:t xml:space="preserve"> Ministry </w:t>
            </w:r>
            <w:proofErr w:type="spellStart"/>
            <w:r w:rsidRPr="00CF7B03">
              <w:rPr>
                <w:rFonts w:asciiTheme="minorHAnsi" w:hAnsiTheme="minorHAnsi" w:cstheme="minorHAnsi"/>
                <w:bCs/>
              </w:rPr>
              <w:t>of</w:t>
            </w:r>
            <w:proofErr w:type="spellEnd"/>
            <w:r w:rsidRPr="00CF7B03">
              <w:rPr>
                <w:rFonts w:asciiTheme="minorHAnsi" w:hAnsiTheme="minorHAnsi" w:cstheme="minorHAnsi"/>
                <w:bCs/>
              </w:rPr>
              <w:t xml:space="preserve"> Finance </w:t>
            </w:r>
            <w:proofErr w:type="spellStart"/>
            <w:r w:rsidRPr="00CF7B03">
              <w:rPr>
                <w:rFonts w:asciiTheme="minorHAnsi" w:hAnsiTheme="minorHAnsi" w:cstheme="minorHAnsi"/>
                <w:bCs/>
              </w:rPr>
              <w:t>of</w:t>
            </w:r>
            <w:proofErr w:type="spellEnd"/>
            <w:r w:rsidRPr="00CF7B03">
              <w:rPr>
                <w:rFonts w:asciiTheme="minorHAnsi" w:hAnsiTheme="minorHAnsi" w:cstheme="minorHAnsi"/>
                <w:bCs/>
              </w:rPr>
              <w:t xml:space="preserve"> </w:t>
            </w:r>
            <w:proofErr w:type="spellStart"/>
            <w:r w:rsidRPr="00CF7B03">
              <w:rPr>
                <w:rFonts w:asciiTheme="minorHAnsi" w:hAnsiTheme="minorHAnsi" w:cstheme="minorHAnsi"/>
                <w:bCs/>
              </w:rPr>
              <w:t>the</w:t>
            </w:r>
            <w:proofErr w:type="spellEnd"/>
            <w:r w:rsidRPr="00CF7B03">
              <w:rPr>
                <w:rFonts w:asciiTheme="minorHAnsi" w:hAnsiTheme="minorHAnsi" w:cstheme="minorHAnsi"/>
                <w:bCs/>
              </w:rPr>
              <w:t xml:space="preserve"> </w:t>
            </w:r>
            <w:proofErr w:type="spellStart"/>
            <w:r w:rsidRPr="00CF7B03">
              <w:rPr>
                <w:rFonts w:asciiTheme="minorHAnsi" w:hAnsiTheme="minorHAnsi" w:cstheme="minorHAnsi"/>
                <w:bCs/>
              </w:rPr>
              <w:t>Slovac</w:t>
            </w:r>
            <w:proofErr w:type="spellEnd"/>
            <w:r w:rsidRPr="00CF7B03">
              <w:rPr>
                <w:rFonts w:asciiTheme="minorHAnsi" w:hAnsiTheme="minorHAnsi" w:cstheme="minorHAnsi"/>
                <w:bCs/>
              </w:rPr>
              <w:t xml:space="preserve"> </w:t>
            </w:r>
            <w:proofErr w:type="spellStart"/>
            <w:r w:rsidRPr="00CF7B03">
              <w:rPr>
                <w:rFonts w:asciiTheme="minorHAnsi" w:hAnsiTheme="minorHAnsi" w:cstheme="minorHAnsi"/>
                <w:bCs/>
              </w:rPr>
              <w:t>republic</w:t>
            </w:r>
            <w:proofErr w:type="spellEnd"/>
            <w:r w:rsidRPr="00CF7B03">
              <w:rPr>
                <w:rFonts w:asciiTheme="minorHAnsi" w:hAnsiTheme="minorHAnsi" w:cstheme="minorHAnsi"/>
                <w:bCs/>
              </w:rPr>
              <w:t xml:space="preserve">. </w:t>
            </w:r>
            <w:r w:rsidRPr="00CF7B03">
              <w:rPr>
                <w:rFonts w:asciiTheme="minorHAnsi" w:hAnsiTheme="minorHAnsi" w:cstheme="minorHAnsi"/>
              </w:rPr>
              <w:t xml:space="preserve">[citace: 25.10. 2012]. </w:t>
            </w:r>
            <w:r w:rsidRPr="00CF7B03">
              <w:rPr>
                <w:rFonts w:asciiTheme="minorHAnsi" w:hAnsiTheme="minorHAnsi" w:cstheme="minorHAnsi"/>
                <w:bCs/>
              </w:rPr>
              <w:t>Dostupné z: http://www.finance.gov.sk/en/Components/CategoryDocuments/s_LoadDocument.aspx?categoryId=614&amp;documentId=426</w:t>
            </w:r>
          </w:p>
        </w:tc>
      </w:tr>
      <w:tr w:rsidR="00E575DB" w:rsidRPr="00CF7B03" w:rsidTr="005D4231">
        <w:tc>
          <w:tcPr>
            <w:tcW w:w="9285" w:type="dxa"/>
            <w:tcMar>
              <w:top w:w="0" w:type="dxa"/>
              <w:left w:w="108" w:type="dxa"/>
              <w:bottom w:w="0" w:type="dxa"/>
              <w:right w:w="108" w:type="dxa"/>
            </w:tcMar>
          </w:tcPr>
          <w:p w:rsidR="00E575DB" w:rsidRPr="00CF7B03" w:rsidRDefault="00E575DB" w:rsidP="00E925B9">
            <w:pPr>
              <w:pStyle w:val="Standard"/>
              <w:numPr>
                <w:ilvl w:val="0"/>
                <w:numId w:val="15"/>
              </w:numPr>
              <w:spacing w:after="60"/>
              <w:rPr>
                <w:rFonts w:asciiTheme="minorHAnsi" w:hAnsiTheme="minorHAnsi" w:cstheme="minorHAnsi"/>
              </w:rPr>
            </w:pPr>
            <w:r w:rsidRPr="00CF7B03">
              <w:rPr>
                <w:rFonts w:asciiTheme="minorHAnsi" w:hAnsiTheme="minorHAnsi" w:cstheme="minorHAnsi"/>
              </w:rPr>
              <w:t xml:space="preserve">OTRANTO, E., PISANI, S., POLIDORO, F. (2003). </w:t>
            </w:r>
            <w:r w:rsidRPr="00CF7B03">
              <w:rPr>
                <w:rFonts w:asciiTheme="minorHAnsi" w:hAnsiTheme="minorHAnsi" w:cstheme="minorHAnsi"/>
                <w:i/>
              </w:rPr>
              <w:t xml:space="preserve">In </w:t>
            </w:r>
            <w:proofErr w:type="spellStart"/>
            <w:r w:rsidRPr="00CF7B03">
              <w:rPr>
                <w:rFonts w:asciiTheme="minorHAnsi" w:hAnsiTheme="minorHAnsi" w:cstheme="minorHAnsi"/>
                <w:i/>
              </w:rPr>
              <w:t>modello</w:t>
            </w:r>
            <w:proofErr w:type="spellEnd"/>
            <w:r w:rsidRPr="00CF7B03">
              <w:rPr>
                <w:rFonts w:asciiTheme="minorHAnsi" w:hAnsiTheme="minorHAnsi" w:cstheme="minorHAnsi"/>
                <w:i/>
              </w:rPr>
              <w:t xml:space="preserve"> </w:t>
            </w:r>
            <w:proofErr w:type="spellStart"/>
            <w:r w:rsidRPr="00CF7B03">
              <w:rPr>
                <w:rFonts w:asciiTheme="minorHAnsi" w:hAnsiTheme="minorHAnsi" w:cstheme="minorHAnsi"/>
                <w:i/>
              </w:rPr>
              <w:t>statistico</w:t>
            </w:r>
            <w:proofErr w:type="spellEnd"/>
            <w:r w:rsidRPr="00CF7B03">
              <w:rPr>
                <w:rFonts w:asciiTheme="minorHAnsi" w:hAnsiTheme="minorHAnsi" w:cstheme="minorHAnsi"/>
                <w:i/>
              </w:rPr>
              <w:t xml:space="preserve"> per </w:t>
            </w:r>
            <w:proofErr w:type="spellStart"/>
            <w:r w:rsidRPr="00CF7B03">
              <w:rPr>
                <w:rFonts w:asciiTheme="minorHAnsi" w:hAnsiTheme="minorHAnsi" w:cstheme="minorHAnsi"/>
                <w:i/>
              </w:rPr>
              <w:t>comprendere</w:t>
            </w:r>
            <w:proofErr w:type="spellEnd"/>
            <w:r w:rsidRPr="00CF7B03">
              <w:rPr>
                <w:rFonts w:asciiTheme="minorHAnsi" w:hAnsiTheme="minorHAnsi" w:cstheme="minorHAnsi"/>
                <w:i/>
              </w:rPr>
              <w:t xml:space="preserve"> </w:t>
            </w:r>
            <w:proofErr w:type="spellStart"/>
            <w:r w:rsidRPr="00CF7B03">
              <w:rPr>
                <w:rFonts w:asciiTheme="minorHAnsi" w:hAnsiTheme="minorHAnsi" w:cstheme="minorHAnsi"/>
                <w:i/>
              </w:rPr>
              <w:t>le</w:t>
            </w:r>
            <w:proofErr w:type="spellEnd"/>
            <w:r w:rsidRPr="00CF7B03">
              <w:rPr>
                <w:rFonts w:asciiTheme="minorHAnsi" w:hAnsiTheme="minorHAnsi" w:cstheme="minorHAnsi"/>
                <w:i/>
              </w:rPr>
              <w:t xml:space="preserve"> </w:t>
            </w:r>
            <w:proofErr w:type="spellStart"/>
            <w:r w:rsidRPr="00CF7B03">
              <w:rPr>
                <w:rFonts w:asciiTheme="minorHAnsi" w:hAnsiTheme="minorHAnsi" w:cstheme="minorHAnsi"/>
                <w:i/>
              </w:rPr>
              <w:t>determinati</w:t>
            </w:r>
            <w:proofErr w:type="spellEnd"/>
            <w:r w:rsidRPr="00CF7B03">
              <w:rPr>
                <w:rFonts w:asciiTheme="minorHAnsi" w:hAnsiTheme="minorHAnsi" w:cstheme="minorHAnsi"/>
                <w:i/>
              </w:rPr>
              <w:t xml:space="preserve"> </w:t>
            </w:r>
            <w:proofErr w:type="spellStart"/>
            <w:r w:rsidRPr="00CF7B03">
              <w:rPr>
                <w:rFonts w:asciiTheme="minorHAnsi" w:hAnsiTheme="minorHAnsi" w:cstheme="minorHAnsi"/>
                <w:i/>
              </w:rPr>
              <w:t>dell'evasione</w:t>
            </w:r>
            <w:proofErr w:type="spellEnd"/>
            <w:r w:rsidRPr="00CF7B03">
              <w:rPr>
                <w:rFonts w:asciiTheme="minorHAnsi" w:hAnsiTheme="minorHAnsi" w:cstheme="minorHAnsi"/>
                <w:i/>
              </w:rPr>
              <w:t>.</w:t>
            </w:r>
            <w:r w:rsidRPr="00CF7B03">
              <w:rPr>
                <w:rFonts w:asciiTheme="minorHAnsi" w:hAnsiTheme="minorHAnsi" w:cstheme="minorHAnsi"/>
              </w:rPr>
              <w:t xml:space="preserve"> </w:t>
            </w:r>
            <w:proofErr w:type="spellStart"/>
            <w:r w:rsidRPr="00CF7B03">
              <w:rPr>
                <w:rFonts w:asciiTheme="minorHAnsi" w:hAnsiTheme="minorHAnsi" w:cstheme="minorHAnsi"/>
              </w:rPr>
              <w:t>Ministerio</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dell</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Economia</w:t>
            </w:r>
            <w:proofErr w:type="spellEnd"/>
            <w:r w:rsidRPr="00CF7B03">
              <w:rPr>
                <w:rFonts w:asciiTheme="minorHAnsi" w:hAnsiTheme="minorHAnsi" w:cstheme="minorHAnsi"/>
              </w:rPr>
              <w:t xml:space="preserve"> e </w:t>
            </w:r>
            <w:proofErr w:type="spellStart"/>
            <w:r w:rsidRPr="00CF7B03">
              <w:rPr>
                <w:rFonts w:asciiTheme="minorHAnsi" w:hAnsiTheme="minorHAnsi" w:cstheme="minorHAnsi"/>
              </w:rPr>
              <w:t>della</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Finanze</w:t>
            </w:r>
            <w:proofErr w:type="spellEnd"/>
            <w:r w:rsidRPr="00CF7B03">
              <w:rPr>
                <w:rFonts w:asciiTheme="minorHAnsi" w:hAnsiTheme="minorHAnsi" w:cstheme="minorHAnsi"/>
              </w:rPr>
              <w:t xml:space="preserve"> Italy. Dostupné z: http://www1.agenziaentrate.it/ufficiostudi/pdf</w:t>
            </w:r>
          </w:p>
        </w:tc>
      </w:tr>
      <w:tr w:rsidR="00E575DB" w:rsidRPr="00CF7B03" w:rsidTr="005D4231">
        <w:tc>
          <w:tcPr>
            <w:tcW w:w="9285" w:type="dxa"/>
            <w:tcMar>
              <w:top w:w="0" w:type="dxa"/>
              <w:left w:w="108" w:type="dxa"/>
              <w:bottom w:w="0" w:type="dxa"/>
              <w:right w:w="108" w:type="dxa"/>
            </w:tcMar>
          </w:tcPr>
          <w:p w:rsidR="00E575DB" w:rsidRPr="00CF7B03" w:rsidRDefault="00E575DB" w:rsidP="00E925B9">
            <w:pPr>
              <w:pStyle w:val="Standard"/>
              <w:numPr>
                <w:ilvl w:val="0"/>
                <w:numId w:val="15"/>
              </w:numPr>
              <w:spacing w:after="60"/>
              <w:rPr>
                <w:rFonts w:asciiTheme="minorHAnsi" w:hAnsiTheme="minorHAnsi" w:cstheme="minorHAnsi"/>
              </w:rPr>
            </w:pPr>
            <w:r w:rsidRPr="00CF7B03">
              <w:rPr>
                <w:rFonts w:asciiTheme="minorHAnsi" w:hAnsiTheme="minorHAnsi" w:cstheme="minorHAnsi"/>
              </w:rPr>
              <w:t xml:space="preserve">RECKON LLP (2009). Study to </w:t>
            </w:r>
            <w:proofErr w:type="spellStart"/>
            <w:r w:rsidRPr="00CF7B03">
              <w:rPr>
                <w:rFonts w:asciiTheme="minorHAnsi" w:hAnsiTheme="minorHAnsi" w:cstheme="minorHAnsi"/>
              </w:rPr>
              <w:t>quantify</w:t>
            </w:r>
            <w:proofErr w:type="spellEnd"/>
            <w:r w:rsidRPr="00CF7B03">
              <w:rPr>
                <w:rFonts w:asciiTheme="minorHAnsi" w:hAnsiTheme="minorHAnsi" w:cstheme="minorHAnsi"/>
              </w:rPr>
              <w:t xml:space="preserve"> and analyse </w:t>
            </w:r>
            <w:proofErr w:type="spellStart"/>
            <w:r w:rsidRPr="00CF7B03">
              <w:rPr>
                <w:rFonts w:asciiTheme="minorHAnsi" w:hAnsiTheme="minorHAnsi" w:cstheme="minorHAnsi"/>
              </w:rPr>
              <w:t>the</w:t>
            </w:r>
            <w:proofErr w:type="spellEnd"/>
            <w:r w:rsidRPr="00CF7B03">
              <w:rPr>
                <w:rFonts w:asciiTheme="minorHAnsi" w:hAnsiTheme="minorHAnsi" w:cstheme="minorHAnsi"/>
              </w:rPr>
              <w:t xml:space="preserve"> VAT gap in </w:t>
            </w:r>
            <w:proofErr w:type="spellStart"/>
            <w:r w:rsidRPr="00CF7B03">
              <w:rPr>
                <w:rFonts w:asciiTheme="minorHAnsi" w:hAnsiTheme="minorHAnsi" w:cstheme="minorHAnsi"/>
              </w:rPr>
              <w:t>the</w:t>
            </w:r>
            <w:proofErr w:type="spellEnd"/>
            <w:r w:rsidRPr="00CF7B03">
              <w:rPr>
                <w:rFonts w:asciiTheme="minorHAnsi" w:hAnsiTheme="minorHAnsi" w:cstheme="minorHAnsi"/>
              </w:rPr>
              <w:t xml:space="preserve"> EU-25 </w:t>
            </w:r>
            <w:proofErr w:type="spellStart"/>
            <w:r w:rsidRPr="00CF7B03">
              <w:rPr>
                <w:rFonts w:asciiTheme="minorHAnsi" w:hAnsiTheme="minorHAnsi" w:cstheme="minorHAnsi"/>
              </w:rPr>
              <w:t>Member</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States</w:t>
            </w:r>
            <w:proofErr w:type="spellEnd"/>
            <w:r w:rsidRPr="00CF7B03">
              <w:rPr>
                <w:rFonts w:asciiTheme="minorHAnsi" w:hAnsiTheme="minorHAnsi" w:cstheme="minorHAnsi"/>
              </w:rPr>
              <w:t xml:space="preserve">. [citace: 17.12. 2011]. dostupné z: </w:t>
            </w:r>
            <w:r w:rsidRPr="00CF7B03">
              <w:rPr>
                <w:rFonts w:asciiTheme="minorHAnsi" w:hAnsiTheme="minorHAnsi" w:cstheme="minorHAnsi"/>
              </w:rPr>
              <w:lastRenderedPageBreak/>
              <w:t>http://ec.europa.eu/taxation_customs/resources/documents/taxation/tax_cooperation/combating_tax_fraud/reckon_report_sep2009.pdf</w:t>
            </w:r>
          </w:p>
        </w:tc>
      </w:tr>
      <w:tr w:rsidR="00E575DB" w:rsidRPr="00CF7B03" w:rsidTr="005D4231">
        <w:tc>
          <w:tcPr>
            <w:tcW w:w="9285" w:type="dxa"/>
            <w:tcMar>
              <w:top w:w="0" w:type="dxa"/>
              <w:left w:w="108" w:type="dxa"/>
              <w:bottom w:w="0" w:type="dxa"/>
              <w:right w:w="108" w:type="dxa"/>
            </w:tcMar>
          </w:tcPr>
          <w:p w:rsidR="00E575DB" w:rsidRPr="00CF7B03" w:rsidRDefault="00E575DB" w:rsidP="00E925B9">
            <w:pPr>
              <w:pStyle w:val="Default"/>
              <w:numPr>
                <w:ilvl w:val="0"/>
                <w:numId w:val="15"/>
              </w:numPr>
              <w:spacing w:after="60"/>
              <w:rPr>
                <w:rFonts w:asciiTheme="minorHAnsi" w:hAnsiTheme="minorHAnsi" w:cstheme="minorHAnsi"/>
              </w:rPr>
            </w:pPr>
            <w:r w:rsidRPr="00CF7B03">
              <w:rPr>
                <w:rFonts w:asciiTheme="minorHAnsi" w:hAnsiTheme="minorHAnsi" w:cstheme="minorHAnsi"/>
                <w:color w:val="auto"/>
              </w:rPr>
              <w:lastRenderedPageBreak/>
              <w:t xml:space="preserve">SCHNEIDER, </w:t>
            </w:r>
            <w:proofErr w:type="gramStart"/>
            <w:r w:rsidRPr="00CF7B03">
              <w:rPr>
                <w:rFonts w:asciiTheme="minorHAnsi" w:hAnsiTheme="minorHAnsi" w:cstheme="minorHAnsi"/>
                <w:color w:val="auto"/>
              </w:rPr>
              <w:t>F. ,</w:t>
            </w:r>
            <w:proofErr w:type="gramEnd"/>
            <w:r w:rsidRPr="00CF7B03">
              <w:rPr>
                <w:rFonts w:asciiTheme="minorHAnsi" w:hAnsiTheme="minorHAnsi" w:cstheme="minorHAnsi"/>
                <w:color w:val="auto"/>
              </w:rPr>
              <w:t xml:space="preserve"> BUEHN, A. (2007).  </w:t>
            </w:r>
            <w:proofErr w:type="spellStart"/>
            <w:r w:rsidRPr="00CF7B03">
              <w:rPr>
                <w:rFonts w:asciiTheme="minorHAnsi" w:hAnsiTheme="minorHAnsi" w:cstheme="minorHAnsi"/>
                <w:color w:val="auto"/>
              </w:rPr>
              <w:t>Shadow</w:t>
            </w:r>
            <w:proofErr w:type="spellEnd"/>
            <w:r w:rsidRPr="00CF7B03">
              <w:rPr>
                <w:rFonts w:asciiTheme="minorHAnsi" w:hAnsiTheme="minorHAnsi" w:cstheme="minorHAnsi"/>
                <w:color w:val="auto"/>
              </w:rPr>
              <w:t xml:space="preserve"> </w:t>
            </w:r>
            <w:proofErr w:type="spellStart"/>
            <w:r w:rsidRPr="00CF7B03">
              <w:rPr>
                <w:rFonts w:asciiTheme="minorHAnsi" w:hAnsiTheme="minorHAnsi" w:cstheme="minorHAnsi"/>
                <w:color w:val="auto"/>
              </w:rPr>
              <w:t>Economies</w:t>
            </w:r>
            <w:proofErr w:type="spellEnd"/>
            <w:r w:rsidRPr="00CF7B03">
              <w:rPr>
                <w:rFonts w:asciiTheme="minorHAnsi" w:hAnsiTheme="minorHAnsi" w:cstheme="minorHAnsi"/>
                <w:color w:val="auto"/>
              </w:rPr>
              <w:t xml:space="preserve"> and </w:t>
            </w:r>
            <w:proofErr w:type="spellStart"/>
            <w:r w:rsidRPr="00CF7B03">
              <w:rPr>
                <w:rFonts w:asciiTheme="minorHAnsi" w:hAnsiTheme="minorHAnsi" w:cstheme="minorHAnsi"/>
                <w:color w:val="auto"/>
              </w:rPr>
              <w:t>Corruption</w:t>
            </w:r>
            <w:proofErr w:type="spellEnd"/>
            <w:r w:rsidRPr="00CF7B03">
              <w:rPr>
                <w:rFonts w:asciiTheme="minorHAnsi" w:hAnsiTheme="minorHAnsi" w:cstheme="minorHAnsi"/>
                <w:color w:val="auto"/>
              </w:rPr>
              <w:t xml:space="preserve"> All </w:t>
            </w:r>
            <w:proofErr w:type="spellStart"/>
            <w:r w:rsidRPr="00CF7B03">
              <w:rPr>
                <w:rFonts w:asciiTheme="minorHAnsi" w:hAnsiTheme="minorHAnsi" w:cstheme="minorHAnsi"/>
                <w:color w:val="auto"/>
              </w:rPr>
              <w:t>Over</w:t>
            </w:r>
            <w:proofErr w:type="spellEnd"/>
            <w:r w:rsidRPr="00CF7B03">
              <w:rPr>
                <w:rFonts w:asciiTheme="minorHAnsi" w:hAnsiTheme="minorHAnsi" w:cstheme="minorHAnsi"/>
                <w:color w:val="auto"/>
              </w:rPr>
              <w:t xml:space="preserve"> </w:t>
            </w:r>
            <w:proofErr w:type="spellStart"/>
            <w:r w:rsidRPr="00CF7B03">
              <w:rPr>
                <w:rFonts w:asciiTheme="minorHAnsi" w:hAnsiTheme="minorHAnsi" w:cstheme="minorHAnsi"/>
                <w:color w:val="auto"/>
              </w:rPr>
              <w:t>the</w:t>
            </w:r>
            <w:proofErr w:type="spellEnd"/>
            <w:r w:rsidRPr="00CF7B03">
              <w:rPr>
                <w:rFonts w:asciiTheme="minorHAnsi" w:hAnsiTheme="minorHAnsi" w:cstheme="minorHAnsi"/>
                <w:color w:val="auto"/>
              </w:rPr>
              <w:t xml:space="preserve"> </w:t>
            </w:r>
            <w:proofErr w:type="spellStart"/>
            <w:r w:rsidRPr="00CF7B03">
              <w:rPr>
                <w:rFonts w:asciiTheme="minorHAnsi" w:hAnsiTheme="minorHAnsi" w:cstheme="minorHAnsi"/>
                <w:color w:val="auto"/>
              </w:rPr>
              <w:t>World</w:t>
            </w:r>
            <w:proofErr w:type="spellEnd"/>
            <w:r w:rsidRPr="00CF7B03">
              <w:rPr>
                <w:rFonts w:asciiTheme="minorHAnsi" w:hAnsiTheme="minorHAnsi" w:cstheme="minorHAnsi"/>
                <w:color w:val="auto"/>
              </w:rPr>
              <w:t xml:space="preserve">: </w:t>
            </w:r>
            <w:proofErr w:type="spellStart"/>
            <w:r w:rsidRPr="00CF7B03">
              <w:rPr>
                <w:rFonts w:asciiTheme="minorHAnsi" w:hAnsiTheme="minorHAnsi" w:cstheme="minorHAnsi"/>
                <w:color w:val="auto"/>
              </w:rPr>
              <w:t>Revised</w:t>
            </w:r>
            <w:proofErr w:type="spellEnd"/>
            <w:r w:rsidRPr="00CF7B03">
              <w:rPr>
                <w:rFonts w:asciiTheme="minorHAnsi" w:hAnsiTheme="minorHAnsi" w:cstheme="minorHAnsi"/>
                <w:color w:val="auto"/>
              </w:rPr>
              <w:t xml:space="preserve"> </w:t>
            </w:r>
            <w:proofErr w:type="spellStart"/>
            <w:r w:rsidRPr="00CF7B03">
              <w:rPr>
                <w:rFonts w:asciiTheme="minorHAnsi" w:hAnsiTheme="minorHAnsi" w:cstheme="minorHAnsi"/>
                <w:color w:val="auto"/>
              </w:rPr>
              <w:t>Estimates</w:t>
            </w:r>
            <w:proofErr w:type="spellEnd"/>
            <w:r w:rsidRPr="00CF7B03">
              <w:rPr>
                <w:rFonts w:asciiTheme="minorHAnsi" w:hAnsiTheme="minorHAnsi" w:cstheme="minorHAnsi"/>
                <w:color w:val="auto"/>
              </w:rPr>
              <w:t xml:space="preserve"> </w:t>
            </w:r>
            <w:proofErr w:type="spellStart"/>
            <w:r w:rsidRPr="00CF7B03">
              <w:rPr>
                <w:rFonts w:asciiTheme="minorHAnsi" w:hAnsiTheme="minorHAnsi" w:cstheme="minorHAnsi"/>
                <w:color w:val="auto"/>
              </w:rPr>
              <w:t>for</w:t>
            </w:r>
            <w:proofErr w:type="spellEnd"/>
            <w:r w:rsidRPr="00CF7B03">
              <w:rPr>
                <w:rFonts w:asciiTheme="minorHAnsi" w:hAnsiTheme="minorHAnsi" w:cstheme="minorHAnsi"/>
                <w:color w:val="auto"/>
              </w:rPr>
              <w:t xml:space="preserve"> 120 </w:t>
            </w:r>
            <w:proofErr w:type="spellStart"/>
            <w:r w:rsidRPr="00CF7B03">
              <w:rPr>
                <w:rFonts w:asciiTheme="minorHAnsi" w:hAnsiTheme="minorHAnsi" w:cstheme="minorHAnsi"/>
                <w:color w:val="auto"/>
              </w:rPr>
              <w:t>Countries</w:t>
            </w:r>
            <w:proofErr w:type="spellEnd"/>
            <w:r w:rsidRPr="00CF7B03">
              <w:rPr>
                <w:rFonts w:asciiTheme="minorHAnsi" w:hAnsiTheme="minorHAnsi" w:cstheme="minorHAnsi"/>
                <w:color w:val="auto"/>
              </w:rPr>
              <w:t xml:space="preserve">. </w:t>
            </w:r>
            <w:r w:rsidRPr="00CF7B03">
              <w:rPr>
                <w:rFonts w:asciiTheme="minorHAnsi" w:hAnsiTheme="minorHAnsi" w:cstheme="minorHAnsi"/>
                <w:i/>
                <w:color w:val="auto"/>
              </w:rPr>
              <w:t>Open-Access E-</w:t>
            </w:r>
            <w:proofErr w:type="spellStart"/>
            <w:r w:rsidRPr="00CF7B03">
              <w:rPr>
                <w:rFonts w:asciiTheme="minorHAnsi" w:hAnsiTheme="minorHAnsi" w:cstheme="minorHAnsi"/>
                <w:i/>
                <w:color w:val="auto"/>
              </w:rPr>
              <w:t>Journal</w:t>
            </w:r>
            <w:proofErr w:type="spellEnd"/>
            <w:r w:rsidRPr="00CF7B03">
              <w:rPr>
                <w:rFonts w:asciiTheme="minorHAnsi" w:hAnsiTheme="minorHAnsi" w:cstheme="minorHAnsi"/>
                <w:color w:val="auto"/>
              </w:rPr>
              <w:t>. [Citace 11.12. 2011</w:t>
            </w:r>
            <w:proofErr w:type="gramStart"/>
            <w:r w:rsidRPr="00CF7B03">
              <w:rPr>
                <w:rFonts w:asciiTheme="minorHAnsi" w:hAnsiTheme="minorHAnsi" w:cstheme="minorHAnsi"/>
                <w:color w:val="auto"/>
              </w:rPr>
              <w:t>].</w:t>
            </w:r>
            <w:proofErr w:type="spellStart"/>
            <w:r w:rsidRPr="00CF7B03">
              <w:rPr>
                <w:rFonts w:asciiTheme="minorHAnsi" w:hAnsiTheme="minorHAnsi" w:cstheme="minorHAnsi"/>
                <w:color w:val="auto"/>
              </w:rPr>
              <w:t>Ddostupné</w:t>
            </w:r>
            <w:proofErr w:type="spellEnd"/>
            <w:proofErr w:type="gramEnd"/>
            <w:r w:rsidRPr="00CF7B03">
              <w:rPr>
                <w:rFonts w:asciiTheme="minorHAnsi" w:hAnsiTheme="minorHAnsi" w:cstheme="minorHAnsi"/>
                <w:color w:val="auto"/>
              </w:rPr>
              <w:t xml:space="preserve"> z: http://www.economics-ejournal.org/economics</w:t>
            </w:r>
            <w:r w:rsidRPr="00CF7B03">
              <w:rPr>
                <w:rFonts w:asciiTheme="minorHAnsi" w:hAnsiTheme="minorHAnsi" w:cstheme="minorHAnsi"/>
              </w:rPr>
              <w:t>/journalarticles/2007-9</w:t>
            </w:r>
          </w:p>
        </w:tc>
      </w:tr>
      <w:tr w:rsidR="00E575DB" w:rsidRPr="00CF7B03" w:rsidTr="005D4231">
        <w:tc>
          <w:tcPr>
            <w:tcW w:w="9285" w:type="dxa"/>
            <w:tcMar>
              <w:top w:w="0" w:type="dxa"/>
              <w:left w:w="108" w:type="dxa"/>
              <w:bottom w:w="0" w:type="dxa"/>
              <w:right w:w="108" w:type="dxa"/>
            </w:tcMar>
          </w:tcPr>
          <w:p w:rsidR="00E575DB" w:rsidRPr="00CF7B03" w:rsidRDefault="00E575DB" w:rsidP="00E925B9">
            <w:pPr>
              <w:pStyle w:val="Standard"/>
              <w:numPr>
                <w:ilvl w:val="0"/>
                <w:numId w:val="15"/>
              </w:numPr>
              <w:spacing w:after="60"/>
              <w:rPr>
                <w:rFonts w:asciiTheme="minorHAnsi" w:hAnsiTheme="minorHAnsi" w:cstheme="minorHAnsi"/>
                <w:color w:val="000000"/>
              </w:rPr>
            </w:pPr>
            <w:r w:rsidRPr="00CF7B03">
              <w:rPr>
                <w:rFonts w:asciiTheme="minorHAnsi" w:hAnsiTheme="minorHAnsi" w:cstheme="minorHAnsi"/>
                <w:color w:val="000000"/>
              </w:rPr>
              <w:t xml:space="preserve">SCHNEIDER, F. (2012), </w:t>
            </w:r>
            <w:proofErr w:type="spellStart"/>
            <w:r w:rsidRPr="00CF7B03">
              <w:rPr>
                <w:rFonts w:asciiTheme="minorHAnsi" w:hAnsiTheme="minorHAnsi" w:cstheme="minorHAnsi"/>
                <w:color w:val="000000"/>
              </w:rPr>
              <w:t>Size</w:t>
            </w:r>
            <w:proofErr w:type="spellEnd"/>
            <w:r w:rsidRPr="00CF7B03">
              <w:rPr>
                <w:rFonts w:asciiTheme="minorHAnsi" w:hAnsiTheme="minorHAnsi" w:cstheme="minorHAnsi"/>
                <w:color w:val="000000"/>
              </w:rPr>
              <w:t xml:space="preserve"> and Development </w:t>
            </w:r>
            <w:proofErr w:type="spellStart"/>
            <w:r w:rsidRPr="00CF7B03">
              <w:rPr>
                <w:rFonts w:asciiTheme="minorHAnsi" w:hAnsiTheme="minorHAnsi" w:cstheme="minorHAnsi"/>
                <w:color w:val="000000"/>
              </w:rPr>
              <w:t>of</w:t>
            </w:r>
            <w:proofErr w:type="spellEnd"/>
            <w:r w:rsidRPr="00CF7B03">
              <w:rPr>
                <w:rFonts w:asciiTheme="minorHAnsi" w:hAnsiTheme="minorHAnsi" w:cstheme="minorHAnsi"/>
                <w:color w:val="000000"/>
              </w:rPr>
              <w:t xml:space="preserve"> </w:t>
            </w:r>
            <w:proofErr w:type="spellStart"/>
            <w:r w:rsidRPr="00CF7B03">
              <w:rPr>
                <w:rFonts w:asciiTheme="minorHAnsi" w:hAnsiTheme="minorHAnsi" w:cstheme="minorHAnsi"/>
                <w:color w:val="000000"/>
              </w:rPr>
              <w:t>the</w:t>
            </w:r>
            <w:proofErr w:type="spellEnd"/>
            <w:r w:rsidRPr="00CF7B03">
              <w:rPr>
                <w:rFonts w:asciiTheme="minorHAnsi" w:hAnsiTheme="minorHAnsi" w:cstheme="minorHAnsi"/>
                <w:color w:val="000000"/>
              </w:rPr>
              <w:t xml:space="preserve"> </w:t>
            </w:r>
            <w:proofErr w:type="spellStart"/>
            <w:r w:rsidRPr="00CF7B03">
              <w:rPr>
                <w:rFonts w:asciiTheme="minorHAnsi" w:hAnsiTheme="minorHAnsi" w:cstheme="minorHAnsi"/>
                <w:color w:val="000000"/>
              </w:rPr>
              <w:t>Schadow</w:t>
            </w:r>
            <w:proofErr w:type="spellEnd"/>
            <w:r w:rsidRPr="00CF7B03">
              <w:rPr>
                <w:rFonts w:asciiTheme="minorHAnsi" w:hAnsiTheme="minorHAnsi" w:cstheme="minorHAnsi"/>
                <w:color w:val="000000"/>
              </w:rPr>
              <w:t xml:space="preserve"> </w:t>
            </w:r>
            <w:proofErr w:type="spellStart"/>
            <w:r w:rsidRPr="00CF7B03">
              <w:rPr>
                <w:rFonts w:asciiTheme="minorHAnsi" w:hAnsiTheme="minorHAnsi" w:cstheme="minorHAnsi"/>
                <w:color w:val="000000"/>
              </w:rPr>
              <w:t>economy</w:t>
            </w:r>
            <w:proofErr w:type="spellEnd"/>
            <w:r w:rsidRPr="00CF7B03">
              <w:rPr>
                <w:rFonts w:asciiTheme="minorHAnsi" w:hAnsiTheme="minorHAnsi" w:cstheme="minorHAnsi"/>
                <w:color w:val="000000"/>
              </w:rPr>
              <w:t xml:space="preserve"> </w:t>
            </w:r>
            <w:proofErr w:type="spellStart"/>
            <w:r w:rsidRPr="00CF7B03">
              <w:rPr>
                <w:rFonts w:asciiTheme="minorHAnsi" w:hAnsiTheme="minorHAnsi" w:cstheme="minorHAnsi"/>
                <w:color w:val="000000"/>
              </w:rPr>
              <w:t>from</w:t>
            </w:r>
            <w:proofErr w:type="spellEnd"/>
            <w:r w:rsidRPr="00CF7B03">
              <w:rPr>
                <w:rFonts w:asciiTheme="minorHAnsi" w:hAnsiTheme="minorHAnsi" w:cstheme="minorHAnsi"/>
                <w:color w:val="000000"/>
              </w:rPr>
              <w:t xml:space="preserve"> 2003 to </w:t>
            </w:r>
            <w:proofErr w:type="gramStart"/>
            <w:r w:rsidRPr="00CF7B03">
              <w:rPr>
                <w:rFonts w:asciiTheme="minorHAnsi" w:hAnsiTheme="minorHAnsi" w:cstheme="minorHAnsi"/>
                <w:color w:val="000000"/>
              </w:rPr>
              <w:t>2012:some</w:t>
            </w:r>
            <w:proofErr w:type="gramEnd"/>
            <w:r w:rsidRPr="00CF7B03">
              <w:rPr>
                <w:rFonts w:asciiTheme="minorHAnsi" w:hAnsiTheme="minorHAnsi" w:cstheme="minorHAnsi"/>
                <w:color w:val="000000"/>
              </w:rPr>
              <w:t xml:space="preserve"> </w:t>
            </w:r>
            <w:proofErr w:type="spellStart"/>
            <w:r w:rsidRPr="00CF7B03">
              <w:rPr>
                <w:rFonts w:asciiTheme="minorHAnsi" w:hAnsiTheme="minorHAnsi" w:cstheme="minorHAnsi"/>
                <w:color w:val="000000"/>
              </w:rPr>
              <w:t>new</w:t>
            </w:r>
            <w:proofErr w:type="spellEnd"/>
            <w:r w:rsidRPr="00CF7B03">
              <w:rPr>
                <w:rFonts w:asciiTheme="minorHAnsi" w:hAnsiTheme="minorHAnsi" w:cstheme="minorHAnsi"/>
                <w:color w:val="000000"/>
              </w:rPr>
              <w:t xml:space="preserve"> </w:t>
            </w:r>
            <w:proofErr w:type="spellStart"/>
            <w:r w:rsidRPr="00CF7B03">
              <w:rPr>
                <w:rFonts w:asciiTheme="minorHAnsi" w:hAnsiTheme="minorHAnsi" w:cstheme="minorHAnsi"/>
                <w:color w:val="000000"/>
              </w:rPr>
              <w:t>facts</w:t>
            </w:r>
            <w:proofErr w:type="spellEnd"/>
            <w:r w:rsidRPr="00CF7B03">
              <w:rPr>
                <w:rFonts w:asciiTheme="minorHAnsi" w:hAnsiTheme="minorHAnsi" w:cstheme="minorHAnsi"/>
                <w:color w:val="000000"/>
              </w:rPr>
              <w:t xml:space="preserve">, </w:t>
            </w:r>
          </w:p>
        </w:tc>
      </w:tr>
      <w:tr w:rsidR="00DB0C06" w:rsidRPr="00CF7B03" w:rsidTr="00CA036E">
        <w:tc>
          <w:tcPr>
            <w:tcW w:w="9285" w:type="dxa"/>
            <w:tcMar>
              <w:top w:w="0" w:type="dxa"/>
              <w:left w:w="108" w:type="dxa"/>
              <w:bottom w:w="0" w:type="dxa"/>
              <w:right w:w="108" w:type="dxa"/>
            </w:tcMar>
          </w:tcPr>
          <w:p w:rsidR="00DB0C06" w:rsidRPr="00CF7B03" w:rsidRDefault="00DB0C06" w:rsidP="00E925B9">
            <w:pPr>
              <w:pStyle w:val="Standard"/>
              <w:numPr>
                <w:ilvl w:val="0"/>
                <w:numId w:val="15"/>
              </w:numPr>
              <w:spacing w:after="60"/>
              <w:rPr>
                <w:rFonts w:asciiTheme="minorHAnsi" w:hAnsiTheme="minorHAnsi" w:cstheme="minorHAnsi"/>
              </w:rPr>
            </w:pPr>
            <w:r w:rsidRPr="00CF7B03">
              <w:rPr>
                <w:rFonts w:asciiTheme="minorHAnsi" w:hAnsiTheme="minorHAnsi" w:cstheme="minorHAnsi"/>
              </w:rPr>
              <w:t xml:space="preserve">SIXTA, J., FISCHER, J. (2010). </w:t>
            </w:r>
            <w:proofErr w:type="spellStart"/>
            <w:r w:rsidRPr="00CF7B03">
              <w:rPr>
                <w:rFonts w:asciiTheme="minorHAnsi" w:hAnsiTheme="minorHAnsi" w:cstheme="minorHAnsi"/>
              </w:rPr>
              <w:t>Akrualizace</w:t>
            </w:r>
            <w:proofErr w:type="spellEnd"/>
            <w:r w:rsidRPr="00CF7B03">
              <w:rPr>
                <w:rFonts w:asciiTheme="minorHAnsi" w:hAnsiTheme="minorHAnsi" w:cstheme="minorHAnsi"/>
              </w:rPr>
              <w:t xml:space="preserve"> daní, opotřebení fixního kapitálu a investice v sektoru vládních institucí. </w:t>
            </w:r>
            <w:r w:rsidRPr="00CF7B03">
              <w:rPr>
                <w:rFonts w:asciiTheme="minorHAnsi" w:hAnsiTheme="minorHAnsi" w:cstheme="minorHAnsi"/>
                <w:i/>
              </w:rPr>
              <w:t>Politická ekonomie</w:t>
            </w:r>
            <w:r w:rsidRPr="00CF7B03">
              <w:rPr>
                <w:rFonts w:asciiTheme="minorHAnsi" w:hAnsiTheme="minorHAnsi" w:cstheme="minorHAnsi"/>
              </w:rPr>
              <w:t>. Vol 58, No. 2, str. 811-819. ISSN0032-3233</w:t>
            </w:r>
          </w:p>
        </w:tc>
      </w:tr>
      <w:tr w:rsidR="005F15D0" w:rsidRPr="00CF7B03" w:rsidTr="005D4231">
        <w:tc>
          <w:tcPr>
            <w:tcW w:w="9285" w:type="dxa"/>
            <w:tcMar>
              <w:top w:w="0" w:type="dxa"/>
              <w:left w:w="108" w:type="dxa"/>
              <w:bottom w:w="0" w:type="dxa"/>
              <w:right w:w="108" w:type="dxa"/>
            </w:tcMar>
          </w:tcPr>
          <w:p w:rsidR="005F15D0" w:rsidRPr="00CF7B03" w:rsidRDefault="005F15D0" w:rsidP="00E925B9">
            <w:pPr>
              <w:pStyle w:val="Bibliografie"/>
              <w:numPr>
                <w:ilvl w:val="0"/>
                <w:numId w:val="15"/>
              </w:numPr>
              <w:spacing w:after="60"/>
              <w:rPr>
                <w:rFonts w:asciiTheme="minorHAnsi" w:hAnsiTheme="minorHAnsi" w:cstheme="minorHAnsi"/>
                <w:color w:val="000000"/>
                <w:sz w:val="20"/>
                <w:szCs w:val="20"/>
              </w:rPr>
            </w:pPr>
            <w:r w:rsidRPr="00CF7B03">
              <w:rPr>
                <w:rFonts w:asciiTheme="minorHAnsi" w:hAnsiTheme="minorHAnsi" w:cstheme="minorHAnsi"/>
              </w:rPr>
              <w:fldChar w:fldCharType="begin"/>
            </w:r>
            <w:r w:rsidRPr="00CF7B03">
              <w:rPr>
                <w:rFonts w:asciiTheme="minorHAnsi" w:hAnsiTheme="minorHAnsi" w:cstheme="minorHAnsi"/>
              </w:rPr>
              <w:instrText xml:space="preserve"> ADDIN ZOTERO_BIBL {"custom":[]} CSL_BIBLIOGRAPHY </w:instrText>
            </w:r>
            <w:r w:rsidRPr="00CF7B03">
              <w:rPr>
                <w:rFonts w:asciiTheme="minorHAnsi" w:hAnsiTheme="minorHAnsi" w:cstheme="minorHAnsi"/>
              </w:rPr>
              <w:fldChar w:fldCharType="separate"/>
            </w:r>
            <w:r w:rsidRPr="00CF7B03">
              <w:rPr>
                <w:rFonts w:asciiTheme="minorHAnsi" w:hAnsiTheme="minorHAnsi" w:cstheme="minorHAnsi"/>
              </w:rPr>
              <w:t xml:space="preserve">Tait, Alan A. 1988. </w:t>
            </w:r>
            <w:r w:rsidRPr="00CF7B03">
              <w:rPr>
                <w:rFonts w:asciiTheme="minorHAnsi" w:hAnsiTheme="minorHAnsi" w:cstheme="minorHAnsi"/>
                <w:i/>
                <w:iCs/>
              </w:rPr>
              <w:t>Value Added Tax: International Practice and Problems</w:t>
            </w:r>
            <w:r w:rsidRPr="00CF7B03">
              <w:rPr>
                <w:rFonts w:asciiTheme="minorHAnsi" w:hAnsiTheme="minorHAnsi" w:cstheme="minorHAnsi"/>
              </w:rPr>
              <w:t>. International Monetary Fund.</w:t>
            </w:r>
            <w:r w:rsidRPr="00CF7B03">
              <w:rPr>
                <w:rFonts w:asciiTheme="minorHAnsi" w:hAnsiTheme="minorHAnsi" w:cstheme="minorHAnsi"/>
              </w:rPr>
              <w:fldChar w:fldCharType="end"/>
            </w:r>
          </w:p>
        </w:tc>
      </w:tr>
      <w:tr w:rsidR="00737B12" w:rsidRPr="00CF7B03" w:rsidTr="00CA036E">
        <w:tc>
          <w:tcPr>
            <w:tcW w:w="9285" w:type="dxa"/>
            <w:tcMar>
              <w:top w:w="0" w:type="dxa"/>
              <w:left w:w="108" w:type="dxa"/>
              <w:bottom w:w="0" w:type="dxa"/>
              <w:right w:w="108" w:type="dxa"/>
            </w:tcMar>
          </w:tcPr>
          <w:p w:rsidR="00E925B9" w:rsidRPr="00CF7B03" w:rsidRDefault="00737B12" w:rsidP="00E925B9">
            <w:pPr>
              <w:pStyle w:val="Standard"/>
              <w:numPr>
                <w:ilvl w:val="0"/>
                <w:numId w:val="15"/>
              </w:numPr>
              <w:spacing w:after="60"/>
              <w:rPr>
                <w:rFonts w:asciiTheme="minorHAnsi" w:hAnsiTheme="minorHAnsi" w:cstheme="minorHAnsi"/>
              </w:rPr>
            </w:pPr>
            <w:r w:rsidRPr="00CF7B03">
              <w:rPr>
                <w:rFonts w:asciiTheme="minorHAnsi" w:hAnsiTheme="minorHAnsi" w:cstheme="minorHAnsi"/>
              </w:rPr>
              <w:t xml:space="preserve">US INTERNAL REVENUE SERVICE (1979). </w:t>
            </w:r>
            <w:proofErr w:type="spellStart"/>
            <w:r w:rsidRPr="00CF7B03">
              <w:rPr>
                <w:rFonts w:asciiTheme="minorHAnsi" w:hAnsiTheme="minorHAnsi" w:cstheme="minorHAnsi"/>
              </w:rPr>
              <w:t>Estimates</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of</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Income</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Unreported</w:t>
            </w:r>
            <w:proofErr w:type="spellEnd"/>
            <w:r w:rsidRPr="00CF7B03">
              <w:rPr>
                <w:rFonts w:asciiTheme="minorHAnsi" w:hAnsiTheme="minorHAnsi" w:cstheme="minorHAnsi"/>
              </w:rPr>
              <w:t xml:space="preserve"> in </w:t>
            </w:r>
            <w:proofErr w:type="spellStart"/>
            <w:r w:rsidRPr="00CF7B03">
              <w:rPr>
                <w:rFonts w:asciiTheme="minorHAnsi" w:hAnsiTheme="minorHAnsi" w:cstheme="minorHAnsi"/>
              </w:rPr>
              <w:t>Individual</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Income</w:t>
            </w:r>
            <w:proofErr w:type="spellEnd"/>
            <w:r w:rsidRPr="00CF7B03">
              <w:rPr>
                <w:rFonts w:asciiTheme="minorHAnsi" w:hAnsiTheme="minorHAnsi" w:cstheme="minorHAnsi"/>
              </w:rPr>
              <w:t xml:space="preserve"> Tax </w:t>
            </w:r>
            <w:proofErr w:type="spellStart"/>
            <w:r w:rsidRPr="00CF7B03">
              <w:rPr>
                <w:rFonts w:asciiTheme="minorHAnsi" w:hAnsiTheme="minorHAnsi" w:cstheme="minorHAnsi"/>
              </w:rPr>
              <w:t>Returns</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Publication</w:t>
            </w:r>
            <w:proofErr w:type="spellEnd"/>
            <w:r w:rsidRPr="00CF7B03">
              <w:rPr>
                <w:rFonts w:asciiTheme="minorHAnsi" w:hAnsiTheme="minorHAnsi" w:cstheme="minorHAnsi"/>
              </w:rPr>
              <w:t xml:space="preserve"> 1104. </w:t>
            </w:r>
            <w:proofErr w:type="spellStart"/>
            <w:r w:rsidRPr="00CF7B03">
              <w:rPr>
                <w:rFonts w:asciiTheme="minorHAnsi" w:hAnsiTheme="minorHAnsi" w:cstheme="minorHAnsi"/>
              </w:rPr>
              <w:t>Government</w:t>
            </w:r>
            <w:proofErr w:type="spellEnd"/>
            <w:r w:rsidRPr="00CF7B03">
              <w:rPr>
                <w:rFonts w:asciiTheme="minorHAnsi" w:hAnsiTheme="minorHAnsi" w:cstheme="minorHAnsi"/>
              </w:rPr>
              <w:t xml:space="preserve"> </w:t>
            </w:r>
            <w:proofErr w:type="spellStart"/>
            <w:r w:rsidRPr="00CF7B03">
              <w:rPr>
                <w:rFonts w:asciiTheme="minorHAnsi" w:hAnsiTheme="minorHAnsi" w:cstheme="minorHAnsi"/>
              </w:rPr>
              <w:t>Printing</w:t>
            </w:r>
            <w:proofErr w:type="spellEnd"/>
            <w:r w:rsidRPr="00CF7B03">
              <w:rPr>
                <w:rFonts w:asciiTheme="minorHAnsi" w:hAnsiTheme="minorHAnsi" w:cstheme="minorHAnsi"/>
              </w:rPr>
              <w:t xml:space="preserve"> Office. Washington</w:t>
            </w:r>
          </w:p>
        </w:tc>
      </w:tr>
    </w:tbl>
    <w:p w:rsidR="00AC74CE" w:rsidRPr="00CF7B03" w:rsidRDefault="00AC74CE" w:rsidP="00E925B9">
      <w:pPr>
        <w:pStyle w:val="Default"/>
        <w:spacing w:after="60"/>
        <w:rPr>
          <w:rFonts w:asciiTheme="minorHAnsi" w:hAnsiTheme="minorHAnsi" w:cstheme="minorHAnsi"/>
          <w:b/>
          <w:bCs/>
          <w:sz w:val="28"/>
          <w:szCs w:val="28"/>
        </w:rPr>
      </w:pPr>
    </w:p>
    <w:sectPr w:rsidR="00AC74CE" w:rsidRPr="00CF7B03">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114" w:rsidRDefault="00042114" w:rsidP="00811743">
      <w:r>
        <w:separator/>
      </w:r>
    </w:p>
  </w:endnote>
  <w:endnote w:type="continuationSeparator" w:id="0">
    <w:p w:rsidR="00042114" w:rsidRDefault="00042114" w:rsidP="0081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0EFF" w:usb1="5200FDFF" w:usb2="0A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EE"/>
    <w:family w:val="roman"/>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tarSymbol">
    <w:altName w:val="Arial Unicode MS"/>
    <w:charset w:val="EE"/>
    <w:family w:val="auto"/>
    <w:pitch w:val="default"/>
  </w:font>
  <w:font w:name="Nimbus Sans L">
    <w:altName w:val="Aria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F20" w:rsidRPr="00537F20" w:rsidRDefault="00537F20" w:rsidP="00537F20">
    <w:pPr>
      <w:pStyle w:val="Zpat"/>
      <w:jc w:val="center"/>
      <w:rPr>
        <w:sz w:val="22"/>
        <w:szCs w:val="22"/>
      </w:rPr>
    </w:pPr>
    <w:r w:rsidRPr="00537F20">
      <w:rPr>
        <w:sz w:val="22"/>
        <w:szCs w:val="22"/>
      </w:rPr>
      <w:fldChar w:fldCharType="begin"/>
    </w:r>
    <w:r w:rsidRPr="00537F20">
      <w:rPr>
        <w:sz w:val="22"/>
        <w:szCs w:val="22"/>
      </w:rPr>
      <w:instrText>PAGE   \* MERGEFORMAT</w:instrText>
    </w:r>
    <w:r w:rsidRPr="00537F20">
      <w:rPr>
        <w:sz w:val="22"/>
        <w:szCs w:val="22"/>
      </w:rPr>
      <w:fldChar w:fldCharType="separate"/>
    </w:r>
    <w:r w:rsidRPr="00537F20">
      <w:rPr>
        <w:sz w:val="22"/>
        <w:szCs w:val="22"/>
      </w:rPr>
      <w:t>2</w:t>
    </w:r>
    <w:r w:rsidRPr="00537F20">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114" w:rsidRDefault="00042114" w:rsidP="00811743">
      <w:r>
        <w:separator/>
      </w:r>
    </w:p>
  </w:footnote>
  <w:footnote w:type="continuationSeparator" w:id="0">
    <w:p w:rsidR="00042114" w:rsidRDefault="00042114" w:rsidP="00811743">
      <w:r>
        <w:continuationSeparator/>
      </w:r>
    </w:p>
  </w:footnote>
  <w:footnote w:id="1">
    <w:p w:rsidR="00F55EA7" w:rsidRPr="00F55EA7" w:rsidRDefault="00F55EA7" w:rsidP="00537F20">
      <w:pPr>
        <w:pStyle w:val="Textpoznpodarou"/>
        <w:ind w:left="142" w:hanging="142"/>
        <w:jc w:val="both"/>
        <w:rPr>
          <w:lang w:val="cs-CZ"/>
        </w:rPr>
      </w:pPr>
      <w:r>
        <w:rPr>
          <w:rStyle w:val="Znakapoznpodarou"/>
        </w:rPr>
        <w:footnoteRef/>
      </w:r>
      <w:r w:rsidRPr="00F55EA7">
        <w:rPr>
          <w:lang w:val="cs-CZ"/>
        </w:rPr>
        <w:t xml:space="preserve"> </w:t>
      </w:r>
      <w:proofErr w:type="spellStart"/>
      <w:r w:rsidRPr="00F55EA7">
        <w:rPr>
          <w:lang w:val="cs-CZ"/>
        </w:rPr>
        <w:t>Press</w:t>
      </w:r>
      <w:proofErr w:type="spellEnd"/>
      <w:r w:rsidRPr="00F55EA7">
        <w:rPr>
          <w:lang w:val="cs-CZ"/>
        </w:rPr>
        <w:t xml:space="preserve"> </w:t>
      </w:r>
      <w:proofErr w:type="spellStart"/>
      <w:r w:rsidRPr="00F55EA7">
        <w:rPr>
          <w:lang w:val="cs-CZ"/>
        </w:rPr>
        <w:t>Release</w:t>
      </w:r>
      <w:proofErr w:type="spellEnd"/>
      <w:r w:rsidRPr="00F55EA7">
        <w:rPr>
          <w:lang w:val="cs-CZ"/>
        </w:rPr>
        <w:t xml:space="preserve"> </w:t>
      </w:r>
      <w:r>
        <w:rPr>
          <w:lang w:val="cs-CZ"/>
        </w:rPr>
        <w:t>(31.7. 2012) -</w:t>
      </w:r>
      <w:r w:rsidRPr="00F55EA7">
        <w:rPr>
          <w:lang w:val="cs-CZ"/>
        </w:rPr>
        <w:t xml:space="preserve"> VAT: </w:t>
      </w:r>
      <w:proofErr w:type="spellStart"/>
      <w:r w:rsidRPr="00F55EA7">
        <w:rPr>
          <w:lang w:val="cs-CZ"/>
        </w:rPr>
        <w:t>Commission</w:t>
      </w:r>
      <w:proofErr w:type="spellEnd"/>
      <w:r w:rsidRPr="00F55EA7">
        <w:rPr>
          <w:lang w:val="cs-CZ"/>
        </w:rPr>
        <w:t xml:space="preserve"> </w:t>
      </w:r>
      <w:proofErr w:type="spellStart"/>
      <w:r w:rsidRPr="00F55EA7">
        <w:rPr>
          <w:lang w:val="cs-CZ"/>
        </w:rPr>
        <w:t>proposes</w:t>
      </w:r>
      <w:proofErr w:type="spellEnd"/>
      <w:r w:rsidRPr="00F55EA7">
        <w:rPr>
          <w:lang w:val="cs-CZ"/>
        </w:rPr>
        <w:t xml:space="preserve"> </w:t>
      </w:r>
      <w:proofErr w:type="spellStart"/>
      <w:r w:rsidRPr="00F55EA7">
        <w:rPr>
          <w:lang w:val="cs-CZ"/>
        </w:rPr>
        <w:t>new</w:t>
      </w:r>
      <w:proofErr w:type="spellEnd"/>
      <w:r w:rsidRPr="00F55EA7">
        <w:rPr>
          <w:lang w:val="cs-CZ"/>
        </w:rPr>
        <w:t xml:space="preserve"> instrument </w:t>
      </w:r>
      <w:proofErr w:type="spellStart"/>
      <w:r w:rsidRPr="00F55EA7">
        <w:rPr>
          <w:lang w:val="cs-CZ"/>
        </w:rPr>
        <w:t>for</w:t>
      </w:r>
      <w:proofErr w:type="spellEnd"/>
      <w:r w:rsidRPr="00F55EA7">
        <w:rPr>
          <w:lang w:val="cs-CZ"/>
        </w:rPr>
        <w:t xml:space="preserve"> speedy response to </w:t>
      </w:r>
      <w:proofErr w:type="spellStart"/>
      <w:r w:rsidRPr="00F55EA7">
        <w:rPr>
          <w:lang w:val="cs-CZ"/>
        </w:rPr>
        <w:t>fraud</w:t>
      </w:r>
      <w:proofErr w:type="spellEnd"/>
      <w:r>
        <w:rPr>
          <w:lang w:val="cs-CZ"/>
        </w:rPr>
        <w:t xml:space="preserve"> dostupné z: </w:t>
      </w:r>
      <w:r w:rsidRPr="00F55EA7">
        <w:rPr>
          <w:lang w:val="cs-CZ"/>
        </w:rPr>
        <w:t>http://europa.eu/rapid/press-release_IP-12-868_en.htm?locale=en</w:t>
      </w:r>
      <w:r w:rsidR="00537F20">
        <w:rPr>
          <w:lang w:val="cs-CZ"/>
        </w:rPr>
        <w:t>.</w:t>
      </w:r>
    </w:p>
  </w:footnote>
  <w:footnote w:id="2">
    <w:p w:rsidR="00FC1822" w:rsidRPr="00FC1822" w:rsidRDefault="00816AD6" w:rsidP="00537F20">
      <w:pPr>
        <w:pStyle w:val="Textpoznpodarou"/>
        <w:ind w:left="142" w:hanging="142"/>
        <w:jc w:val="both"/>
        <w:rPr>
          <w:lang w:val="cs-CZ"/>
        </w:rPr>
      </w:pPr>
      <w:r>
        <w:rPr>
          <w:rStyle w:val="Znakapoznpodarou"/>
        </w:rPr>
        <w:footnoteRef/>
      </w:r>
      <w:r>
        <w:t xml:space="preserve"> </w:t>
      </w:r>
      <w:r w:rsidR="00160184">
        <w:t>Velikost skutečné daně</w:t>
      </w:r>
      <w:r>
        <w:t xml:space="preserve"> není přesná</w:t>
      </w:r>
      <w:r w:rsidR="00DB0C06">
        <w:rPr>
          <w:lang w:val="cs-CZ"/>
        </w:rPr>
        <w:t xml:space="preserve"> jak uvádí </w:t>
      </w:r>
      <w:r w:rsidR="00893007">
        <w:rPr>
          <w:lang w:val="cs-CZ"/>
        </w:rPr>
        <w:t>Sixta a Fischer (2010)</w:t>
      </w:r>
      <w:r>
        <w:t xml:space="preserve">, protože zahrnuje i zaplacené doměrky minulých let a </w:t>
      </w:r>
      <w:r w:rsidR="007F4825">
        <w:t xml:space="preserve">v případě DPH </w:t>
      </w:r>
      <w:r>
        <w:t>nezo</w:t>
      </w:r>
      <w:r w:rsidR="007F4825">
        <w:t>hledňuje čtvrtletní plátce DPH, ale jsou to veřejně dostupná data, která publikuje Ministerstvo financí</w:t>
      </w:r>
      <w:r w:rsidR="00FC1822">
        <w:rPr>
          <w:lang w:val="cs-CZ"/>
        </w:rPr>
        <w:t>.</w:t>
      </w:r>
      <w:r w:rsidR="003908DC">
        <w:t xml:space="preserve"> </w:t>
      </w:r>
    </w:p>
  </w:footnote>
  <w:footnote w:id="3">
    <w:p w:rsidR="00905CDA" w:rsidRDefault="00905CDA" w:rsidP="00537F20">
      <w:pPr>
        <w:pStyle w:val="Textpoznpodarou"/>
        <w:ind w:left="142" w:hanging="142"/>
        <w:jc w:val="both"/>
      </w:pPr>
      <w:r>
        <w:rPr>
          <w:rStyle w:val="Znakapoznpodarou"/>
        </w:rPr>
        <w:footnoteRef/>
      </w:r>
      <w:r>
        <w:t xml:space="preserve"> </w:t>
      </w:r>
      <w:r w:rsidR="003E3D47">
        <w:t>N</w:t>
      </w:r>
      <w:r>
        <w:t xml:space="preserve">apř. sazba daně, </w:t>
      </w:r>
      <w:r w:rsidR="003E3D47">
        <w:t>složitost</w:t>
      </w:r>
      <w:r>
        <w:t xml:space="preserve"> daňových předpisů, registrační limit, atd.</w:t>
      </w:r>
    </w:p>
  </w:footnote>
  <w:footnote w:id="4">
    <w:p w:rsidR="003E3D47" w:rsidRPr="00537F20" w:rsidRDefault="003E3D47" w:rsidP="00537F20">
      <w:pPr>
        <w:pStyle w:val="Textpoznpodarou"/>
        <w:ind w:left="142" w:hanging="142"/>
        <w:jc w:val="both"/>
        <w:rPr>
          <w:lang w:val="cs-CZ"/>
        </w:rPr>
      </w:pPr>
      <w:r>
        <w:rPr>
          <w:rStyle w:val="Znakapoznpodarou"/>
        </w:rPr>
        <w:footnoteRef/>
      </w:r>
      <w:r>
        <w:t xml:space="preserve"> </w:t>
      </w:r>
      <w:r>
        <w:t>Např. index korupce nebo daňová morálka či vnímání efektivnosti veřejného sektoru</w:t>
      </w:r>
      <w:r w:rsidR="00537F20">
        <w:rPr>
          <w:lang w:val="cs-CZ"/>
        </w:rPr>
        <w:t>.</w:t>
      </w:r>
    </w:p>
  </w:footnote>
  <w:footnote w:id="5">
    <w:p w:rsidR="00E15251" w:rsidRPr="00537F20" w:rsidRDefault="00E15251" w:rsidP="00537F20">
      <w:pPr>
        <w:pStyle w:val="Textpoznpodarou"/>
        <w:ind w:left="142" w:hanging="142"/>
        <w:jc w:val="both"/>
        <w:rPr>
          <w:lang w:val="cs-CZ"/>
        </w:rPr>
      </w:pPr>
      <w:r>
        <w:rPr>
          <w:rStyle w:val="Znakapoznpodarou"/>
        </w:rPr>
        <w:footnoteRef/>
      </w:r>
      <w:r>
        <w:t xml:space="preserve"> </w:t>
      </w:r>
      <w:r>
        <w:t xml:space="preserve">Jde o odhad provedený A. </w:t>
      </w:r>
      <w:proofErr w:type="spellStart"/>
      <w:r>
        <w:t>Tengbladem</w:t>
      </w:r>
      <w:proofErr w:type="spellEnd"/>
      <w:r>
        <w:t>, studie neuvádí zdroj</w:t>
      </w:r>
      <w:r w:rsidR="00537F20">
        <w:rPr>
          <w:lang w:val="cs-CZ"/>
        </w:rPr>
        <w:t>.</w:t>
      </w:r>
    </w:p>
  </w:footnote>
  <w:footnote w:id="6">
    <w:p w:rsidR="00E15251" w:rsidRPr="00537F20" w:rsidRDefault="00E15251" w:rsidP="00537F20">
      <w:pPr>
        <w:pStyle w:val="Textpoznpodarou"/>
        <w:ind w:left="142" w:hanging="142"/>
        <w:jc w:val="both"/>
        <w:rPr>
          <w:lang w:val="cs-CZ"/>
        </w:rPr>
      </w:pPr>
      <w:r>
        <w:rPr>
          <w:rStyle w:val="Znakapoznpodarou"/>
        </w:rPr>
        <w:footnoteRef/>
      </w:r>
      <w:r>
        <w:t xml:space="preserve"> </w:t>
      </w:r>
      <w:r>
        <w:t>Výběr jedné daně vztažený k její teoretické výši</w:t>
      </w:r>
      <w:r w:rsidR="00537F20">
        <w:rPr>
          <w:lang w:val="cs-CZ"/>
        </w:rPr>
        <w:t>.</w:t>
      </w:r>
    </w:p>
  </w:footnote>
  <w:footnote w:id="7">
    <w:p w:rsidR="00E15251" w:rsidRPr="00537F20" w:rsidRDefault="00E15251" w:rsidP="00537F20">
      <w:pPr>
        <w:pStyle w:val="Textpoznpodarou"/>
        <w:ind w:left="142" w:hanging="142"/>
        <w:jc w:val="both"/>
        <w:rPr>
          <w:lang w:val="cs-CZ"/>
        </w:rPr>
      </w:pPr>
      <w:r>
        <w:rPr>
          <w:rStyle w:val="Znakapoznpodarou"/>
        </w:rPr>
        <w:footnoteRef/>
      </w:r>
      <w:r>
        <w:t xml:space="preserve"> </w:t>
      </w:r>
      <w:r>
        <w:t xml:space="preserve">Údaje získali ze studie pro italskou daňovou správu, kterou připravili </w:t>
      </w:r>
      <w:proofErr w:type="spellStart"/>
      <w:r>
        <w:t>Marigliani</w:t>
      </w:r>
      <w:proofErr w:type="spellEnd"/>
      <w:r>
        <w:t xml:space="preserve"> a </w:t>
      </w:r>
      <w:proofErr w:type="spellStart"/>
      <w:r>
        <w:t>Pisani</w:t>
      </w:r>
      <w:proofErr w:type="spellEnd"/>
      <w:r>
        <w:t xml:space="preserve"> (</w:t>
      </w:r>
      <w:r w:rsidR="005A011D">
        <w:t>200</w:t>
      </w:r>
      <w:r>
        <w:t>7)</w:t>
      </w:r>
      <w:r w:rsidR="00537F20">
        <w:rPr>
          <w:lang w:val="cs-CZ"/>
        </w:rPr>
        <w:t>.</w:t>
      </w:r>
    </w:p>
  </w:footnote>
  <w:footnote w:id="8">
    <w:p w:rsidR="00FD1E93" w:rsidRPr="0010342D" w:rsidRDefault="00FD1E93" w:rsidP="00537F20">
      <w:pPr>
        <w:pStyle w:val="Textpoznpodarou"/>
        <w:ind w:left="142" w:hanging="142"/>
        <w:jc w:val="both"/>
        <w:rPr>
          <w:lang w:val="cs-CZ"/>
        </w:rPr>
      </w:pPr>
      <w:r>
        <w:rPr>
          <w:rStyle w:val="Znakapoznpodarou"/>
        </w:rPr>
        <w:footnoteRef/>
      </w:r>
      <w:r>
        <w:t xml:space="preserve"> </w:t>
      </w:r>
      <w:r>
        <w:t>DPH zaplacená konečnými spotřebiteli je hlavní součástí teoretické daňové povinnosti</w:t>
      </w:r>
      <w:r w:rsidR="0010342D">
        <w:rPr>
          <w:lang w:val="cs-CZ"/>
        </w:rPr>
        <w:t>.</w:t>
      </w:r>
    </w:p>
  </w:footnote>
  <w:footnote w:id="9">
    <w:p w:rsidR="00FD1E93" w:rsidRDefault="00FD1E93" w:rsidP="00537F20">
      <w:pPr>
        <w:pStyle w:val="Textpoznpodarou"/>
        <w:ind w:left="142" w:hanging="142"/>
        <w:jc w:val="both"/>
      </w:pPr>
      <w:r>
        <w:rPr>
          <w:rStyle w:val="Znakapoznpodarou"/>
        </w:rPr>
        <w:footnoteRef/>
      </w:r>
      <w:r>
        <w:t xml:space="preserve"> </w:t>
      </w:r>
      <w:r>
        <w:t>Jde např. o finanční instituce, zdravotnická zařízení, školy, atd.</w:t>
      </w:r>
    </w:p>
  </w:footnote>
  <w:footnote w:id="10">
    <w:p w:rsidR="00FD1E93" w:rsidRPr="0010342D" w:rsidRDefault="00FD1E93" w:rsidP="00537F20">
      <w:pPr>
        <w:pStyle w:val="Textpoznpodarou"/>
        <w:ind w:left="142" w:hanging="142"/>
        <w:jc w:val="both"/>
        <w:rPr>
          <w:lang w:val="cs-CZ"/>
        </w:rPr>
      </w:pPr>
      <w:r>
        <w:rPr>
          <w:rStyle w:val="Znakapoznpodarou"/>
        </w:rPr>
        <w:footnoteRef/>
      </w:r>
      <w:r>
        <w:t xml:space="preserve"> </w:t>
      </w:r>
      <w:r>
        <w:t>Při kterém nevzniká nárok na odpočet u přijatých plnění</w:t>
      </w:r>
      <w:r w:rsidR="0010342D">
        <w:rPr>
          <w:lang w:val="cs-CZ"/>
        </w:rPr>
        <w:t>.</w:t>
      </w:r>
    </w:p>
  </w:footnote>
  <w:footnote w:id="11">
    <w:p w:rsidR="00FD1E93" w:rsidRPr="0010342D" w:rsidRDefault="00FD1E93" w:rsidP="00537F20">
      <w:pPr>
        <w:pStyle w:val="Textpoznpodarou"/>
        <w:ind w:left="142" w:hanging="142"/>
        <w:jc w:val="both"/>
        <w:rPr>
          <w:lang w:val="cs-CZ"/>
        </w:rPr>
      </w:pPr>
      <w:r>
        <w:rPr>
          <w:rStyle w:val="Znakapoznpodarou"/>
        </w:rPr>
        <w:footnoteRef/>
      </w:r>
      <w:r>
        <w:t xml:space="preserve"> </w:t>
      </w:r>
      <w:r>
        <w:t>Podle poměru jejich zdanitelných plnění na výstupu a poskytnutých plnění celkem</w:t>
      </w:r>
      <w:r w:rsidR="0010342D">
        <w:rPr>
          <w:lang w:val="cs-CZ"/>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454"/>
        </w:tabs>
        <w:ind w:left="454" w:hanging="45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5CD2BBA"/>
    <w:multiLevelType w:val="hybridMultilevel"/>
    <w:tmpl w:val="133401F6"/>
    <w:lvl w:ilvl="0" w:tplc="B7BC4DE8">
      <w:start w:val="4"/>
      <w:numFmt w:val="bullet"/>
      <w:lvlText w:val="-"/>
      <w:lvlJc w:val="left"/>
      <w:pPr>
        <w:tabs>
          <w:tab w:val="num" w:pos="720"/>
        </w:tabs>
        <w:ind w:left="720" w:hanging="360"/>
      </w:pPr>
      <w:rPr>
        <w:rFonts w:ascii="Times New Roman" w:eastAsia="DejaVu Sans" w:hAnsi="Times New Roman" w:cs="Times New Roman" w:hint="default"/>
        <w:color w:val="FF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32F78"/>
    <w:multiLevelType w:val="hybridMultilevel"/>
    <w:tmpl w:val="B2A62D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274ECA"/>
    <w:multiLevelType w:val="hybridMultilevel"/>
    <w:tmpl w:val="DE5CFE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AC05FD"/>
    <w:multiLevelType w:val="hybridMultilevel"/>
    <w:tmpl w:val="B51C787E"/>
    <w:lvl w:ilvl="0" w:tplc="52BAFFC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1A6B29FD"/>
    <w:multiLevelType w:val="multilevel"/>
    <w:tmpl w:val="4F642B72"/>
    <w:lvl w:ilvl="0">
      <w:start w:val="1"/>
      <w:numFmt w:val="decimal"/>
      <w:pStyle w:val="Nadpis2"/>
      <w:lvlText w:val="%1"/>
      <w:lvlJc w:val="left"/>
      <w:pPr>
        <w:tabs>
          <w:tab w:val="num" w:pos="360"/>
        </w:tabs>
        <w:ind w:left="360" w:hanging="360"/>
      </w:pPr>
      <w:rPr>
        <w:rFonts w:ascii="Times New Roman" w:eastAsia="Times New Roman" w:hAnsi="Times New Roman" w:cs="Times New Roman"/>
        <w:i w:val="0"/>
        <w:sz w:val="28"/>
        <w:szCs w:val="28"/>
      </w:rPr>
    </w:lvl>
    <w:lvl w:ilvl="1">
      <w:start w:val="1"/>
      <w:numFmt w:val="decimal"/>
      <w:pStyle w:val="Nadpis3"/>
      <w:isLgl/>
      <w:lvlText w:val="%1.%2"/>
      <w:lvlJc w:val="left"/>
      <w:pPr>
        <w:tabs>
          <w:tab w:val="num" w:pos="750"/>
        </w:tabs>
        <w:ind w:left="750" w:hanging="390"/>
      </w:pPr>
      <w:rPr>
        <w:rFonts w:hint="default"/>
      </w:rPr>
    </w:lvl>
    <w:lvl w:ilvl="2">
      <w:start w:val="1"/>
      <w:numFmt w:val="decimal"/>
      <w:pStyle w:val="Nadpis4"/>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1ED472FC"/>
    <w:multiLevelType w:val="hybridMultilevel"/>
    <w:tmpl w:val="CB4E1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2C45AF"/>
    <w:multiLevelType w:val="hybridMultilevel"/>
    <w:tmpl w:val="3E5820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97040B9"/>
    <w:multiLevelType w:val="hybridMultilevel"/>
    <w:tmpl w:val="7BA851C4"/>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0" w15:restartNumberingAfterBreak="0">
    <w:nsid w:val="3A4475A5"/>
    <w:multiLevelType w:val="hybridMultilevel"/>
    <w:tmpl w:val="BF8E344C"/>
    <w:lvl w:ilvl="0" w:tplc="0000000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45606F"/>
    <w:multiLevelType w:val="hybridMultilevel"/>
    <w:tmpl w:val="7B6A2C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7844E2"/>
    <w:multiLevelType w:val="hybridMultilevel"/>
    <w:tmpl w:val="8C94A32C"/>
    <w:lvl w:ilvl="0" w:tplc="00000001">
      <w:start w:val="1"/>
      <w:numFmt w:val="decimal"/>
      <w:lvlText w:val="%1."/>
      <w:lvlJc w:val="left"/>
      <w:pPr>
        <w:ind w:left="1174" w:hanging="360"/>
      </w:p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3" w15:restartNumberingAfterBreak="0">
    <w:nsid w:val="577E471F"/>
    <w:multiLevelType w:val="hybridMultilevel"/>
    <w:tmpl w:val="6F1849D2"/>
    <w:lvl w:ilvl="0" w:tplc="0000000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5278A"/>
    <w:multiLevelType w:val="hybridMultilevel"/>
    <w:tmpl w:val="10F261AA"/>
    <w:lvl w:ilvl="0" w:tplc="52BAFFCA">
      <w:start w:val="1"/>
      <w:numFmt w:val="lowerLetter"/>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8A4F46"/>
    <w:multiLevelType w:val="hybridMultilevel"/>
    <w:tmpl w:val="6CD8FB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F151E45"/>
    <w:multiLevelType w:val="hybridMultilevel"/>
    <w:tmpl w:val="DAA0BE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5"/>
  </w:num>
  <w:num w:numId="5">
    <w:abstractNumId w:val="6"/>
  </w:num>
  <w:num w:numId="6">
    <w:abstractNumId w:val="9"/>
  </w:num>
  <w:num w:numId="7">
    <w:abstractNumId w:val="5"/>
  </w:num>
  <w:num w:numId="8">
    <w:abstractNumId w:val="14"/>
  </w:num>
  <w:num w:numId="9">
    <w:abstractNumId w:val="3"/>
  </w:num>
  <w:num w:numId="10">
    <w:abstractNumId w:val="16"/>
  </w:num>
  <w:num w:numId="11">
    <w:abstractNumId w:val="4"/>
  </w:num>
  <w:num w:numId="12">
    <w:abstractNumId w:val="13"/>
  </w:num>
  <w:num w:numId="13">
    <w:abstractNumId w:val="10"/>
  </w:num>
  <w:num w:numId="14">
    <w:abstractNumId w:val="12"/>
  </w:num>
  <w:num w:numId="15">
    <w:abstractNumId w:val="7"/>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82"/>
    <w:rsid w:val="00012405"/>
    <w:rsid w:val="000144C1"/>
    <w:rsid w:val="0001651F"/>
    <w:rsid w:val="00031FB2"/>
    <w:rsid w:val="00041BE1"/>
    <w:rsid w:val="00042114"/>
    <w:rsid w:val="000424C5"/>
    <w:rsid w:val="00053463"/>
    <w:rsid w:val="00055A15"/>
    <w:rsid w:val="00056019"/>
    <w:rsid w:val="00062835"/>
    <w:rsid w:val="000644A1"/>
    <w:rsid w:val="0007612A"/>
    <w:rsid w:val="00080907"/>
    <w:rsid w:val="00091456"/>
    <w:rsid w:val="00093447"/>
    <w:rsid w:val="00093681"/>
    <w:rsid w:val="000949B1"/>
    <w:rsid w:val="000A43DF"/>
    <w:rsid w:val="000A70E9"/>
    <w:rsid w:val="000B2A35"/>
    <w:rsid w:val="000C38D6"/>
    <w:rsid w:val="000C4DF5"/>
    <w:rsid w:val="000C4EEA"/>
    <w:rsid w:val="000C62E1"/>
    <w:rsid w:val="000D08CE"/>
    <w:rsid w:val="000D12A9"/>
    <w:rsid w:val="000E4860"/>
    <w:rsid w:val="0010342D"/>
    <w:rsid w:val="00104957"/>
    <w:rsid w:val="0012780D"/>
    <w:rsid w:val="0013105E"/>
    <w:rsid w:val="00140A8E"/>
    <w:rsid w:val="00142B91"/>
    <w:rsid w:val="00143B09"/>
    <w:rsid w:val="00145BDB"/>
    <w:rsid w:val="001573E3"/>
    <w:rsid w:val="00160184"/>
    <w:rsid w:val="0016033B"/>
    <w:rsid w:val="00165F36"/>
    <w:rsid w:val="00172DEE"/>
    <w:rsid w:val="00173899"/>
    <w:rsid w:val="00181068"/>
    <w:rsid w:val="00182071"/>
    <w:rsid w:val="00182A13"/>
    <w:rsid w:val="00186307"/>
    <w:rsid w:val="00194452"/>
    <w:rsid w:val="001A2D7E"/>
    <w:rsid w:val="001A2FDE"/>
    <w:rsid w:val="001B0E48"/>
    <w:rsid w:val="001B108A"/>
    <w:rsid w:val="001B4F3A"/>
    <w:rsid w:val="001D39CF"/>
    <w:rsid w:val="001D6964"/>
    <w:rsid w:val="001D73D5"/>
    <w:rsid w:val="001E2FD8"/>
    <w:rsid w:val="001E44CA"/>
    <w:rsid w:val="001E72EF"/>
    <w:rsid w:val="002025E3"/>
    <w:rsid w:val="002056A4"/>
    <w:rsid w:val="00214356"/>
    <w:rsid w:val="00214C7A"/>
    <w:rsid w:val="00217B4B"/>
    <w:rsid w:val="00222FF0"/>
    <w:rsid w:val="00223F00"/>
    <w:rsid w:val="00232825"/>
    <w:rsid w:val="00234952"/>
    <w:rsid w:val="0023677F"/>
    <w:rsid w:val="00240770"/>
    <w:rsid w:val="0024319C"/>
    <w:rsid w:val="002455BB"/>
    <w:rsid w:val="00245731"/>
    <w:rsid w:val="002500F6"/>
    <w:rsid w:val="00256BB9"/>
    <w:rsid w:val="00256C89"/>
    <w:rsid w:val="002618CA"/>
    <w:rsid w:val="00262A85"/>
    <w:rsid w:val="0026796F"/>
    <w:rsid w:val="002700E5"/>
    <w:rsid w:val="00270126"/>
    <w:rsid w:val="00272AA0"/>
    <w:rsid w:val="002774C7"/>
    <w:rsid w:val="0028113F"/>
    <w:rsid w:val="00291E93"/>
    <w:rsid w:val="002A0CEF"/>
    <w:rsid w:val="002B3000"/>
    <w:rsid w:val="002C3E12"/>
    <w:rsid w:val="002E4965"/>
    <w:rsid w:val="002E4A82"/>
    <w:rsid w:val="002F4BBD"/>
    <w:rsid w:val="002F5304"/>
    <w:rsid w:val="003010ED"/>
    <w:rsid w:val="00304143"/>
    <w:rsid w:val="003069EC"/>
    <w:rsid w:val="00315A31"/>
    <w:rsid w:val="0032332F"/>
    <w:rsid w:val="00325705"/>
    <w:rsid w:val="00327C28"/>
    <w:rsid w:val="00340104"/>
    <w:rsid w:val="003407CE"/>
    <w:rsid w:val="00342B5B"/>
    <w:rsid w:val="0034680C"/>
    <w:rsid w:val="00346E46"/>
    <w:rsid w:val="00351D88"/>
    <w:rsid w:val="00351FD7"/>
    <w:rsid w:val="00352901"/>
    <w:rsid w:val="003569DD"/>
    <w:rsid w:val="00361C2E"/>
    <w:rsid w:val="00362E67"/>
    <w:rsid w:val="003664EB"/>
    <w:rsid w:val="003667E3"/>
    <w:rsid w:val="00372E78"/>
    <w:rsid w:val="00376B2A"/>
    <w:rsid w:val="0038738A"/>
    <w:rsid w:val="003908DC"/>
    <w:rsid w:val="00392B09"/>
    <w:rsid w:val="003A0B66"/>
    <w:rsid w:val="003A1200"/>
    <w:rsid w:val="003A2E43"/>
    <w:rsid w:val="003B2BC6"/>
    <w:rsid w:val="003D1510"/>
    <w:rsid w:val="003D47D5"/>
    <w:rsid w:val="003E3D47"/>
    <w:rsid w:val="003E70E7"/>
    <w:rsid w:val="00403A9D"/>
    <w:rsid w:val="00405950"/>
    <w:rsid w:val="00410A99"/>
    <w:rsid w:val="004112D7"/>
    <w:rsid w:val="004249DB"/>
    <w:rsid w:val="00427648"/>
    <w:rsid w:val="00441055"/>
    <w:rsid w:val="004720BA"/>
    <w:rsid w:val="004728C8"/>
    <w:rsid w:val="00480F3B"/>
    <w:rsid w:val="004816DA"/>
    <w:rsid w:val="0048188B"/>
    <w:rsid w:val="00492295"/>
    <w:rsid w:val="004942BB"/>
    <w:rsid w:val="004A6F44"/>
    <w:rsid w:val="004B4D86"/>
    <w:rsid w:val="004B5390"/>
    <w:rsid w:val="004C61EF"/>
    <w:rsid w:val="004E2CC6"/>
    <w:rsid w:val="004F40E5"/>
    <w:rsid w:val="004F4366"/>
    <w:rsid w:val="004F7B56"/>
    <w:rsid w:val="00503921"/>
    <w:rsid w:val="00504334"/>
    <w:rsid w:val="005056EF"/>
    <w:rsid w:val="005167A3"/>
    <w:rsid w:val="00520252"/>
    <w:rsid w:val="00531C8B"/>
    <w:rsid w:val="00537F20"/>
    <w:rsid w:val="00540A6D"/>
    <w:rsid w:val="005421CC"/>
    <w:rsid w:val="00544D3A"/>
    <w:rsid w:val="005600BE"/>
    <w:rsid w:val="00564DE6"/>
    <w:rsid w:val="0056795F"/>
    <w:rsid w:val="00570941"/>
    <w:rsid w:val="0057319C"/>
    <w:rsid w:val="005753B7"/>
    <w:rsid w:val="00575C09"/>
    <w:rsid w:val="00580FD4"/>
    <w:rsid w:val="00581992"/>
    <w:rsid w:val="00591E29"/>
    <w:rsid w:val="005A011D"/>
    <w:rsid w:val="005A242B"/>
    <w:rsid w:val="005A558A"/>
    <w:rsid w:val="005B0D26"/>
    <w:rsid w:val="005B1205"/>
    <w:rsid w:val="005B2308"/>
    <w:rsid w:val="005B4BCC"/>
    <w:rsid w:val="005C0DB0"/>
    <w:rsid w:val="005D2E97"/>
    <w:rsid w:val="005D4231"/>
    <w:rsid w:val="005E7E1D"/>
    <w:rsid w:val="005F1323"/>
    <w:rsid w:val="005F15D0"/>
    <w:rsid w:val="006037ED"/>
    <w:rsid w:val="006110B0"/>
    <w:rsid w:val="00612C24"/>
    <w:rsid w:val="00615230"/>
    <w:rsid w:val="00615408"/>
    <w:rsid w:val="00621E5F"/>
    <w:rsid w:val="006249CF"/>
    <w:rsid w:val="0062760E"/>
    <w:rsid w:val="006347CA"/>
    <w:rsid w:val="00635112"/>
    <w:rsid w:val="00637166"/>
    <w:rsid w:val="00655CB8"/>
    <w:rsid w:val="00661891"/>
    <w:rsid w:val="0066356F"/>
    <w:rsid w:val="00672928"/>
    <w:rsid w:val="00673B26"/>
    <w:rsid w:val="00674DF3"/>
    <w:rsid w:val="00682D34"/>
    <w:rsid w:val="006839DA"/>
    <w:rsid w:val="00684CFE"/>
    <w:rsid w:val="006A0AD9"/>
    <w:rsid w:val="006A6282"/>
    <w:rsid w:val="006B5377"/>
    <w:rsid w:val="006B7C10"/>
    <w:rsid w:val="006D109E"/>
    <w:rsid w:val="006D1386"/>
    <w:rsid w:val="006E09F4"/>
    <w:rsid w:val="006E1103"/>
    <w:rsid w:val="006E2680"/>
    <w:rsid w:val="006F254A"/>
    <w:rsid w:val="006F2CDD"/>
    <w:rsid w:val="006F505E"/>
    <w:rsid w:val="006F6084"/>
    <w:rsid w:val="006F6933"/>
    <w:rsid w:val="00700400"/>
    <w:rsid w:val="00703405"/>
    <w:rsid w:val="00707F1F"/>
    <w:rsid w:val="00714FDE"/>
    <w:rsid w:val="00726D78"/>
    <w:rsid w:val="007340E8"/>
    <w:rsid w:val="00735803"/>
    <w:rsid w:val="00737B12"/>
    <w:rsid w:val="00741401"/>
    <w:rsid w:val="00741B05"/>
    <w:rsid w:val="007609E6"/>
    <w:rsid w:val="00764AF7"/>
    <w:rsid w:val="00772142"/>
    <w:rsid w:val="0077312D"/>
    <w:rsid w:val="00774C5F"/>
    <w:rsid w:val="00777BD4"/>
    <w:rsid w:val="00784F27"/>
    <w:rsid w:val="00784FAE"/>
    <w:rsid w:val="00790E7E"/>
    <w:rsid w:val="007930AE"/>
    <w:rsid w:val="007A1D04"/>
    <w:rsid w:val="007A5C5C"/>
    <w:rsid w:val="007A77F2"/>
    <w:rsid w:val="007B0985"/>
    <w:rsid w:val="007C3B95"/>
    <w:rsid w:val="007D41B7"/>
    <w:rsid w:val="007D582A"/>
    <w:rsid w:val="007D7505"/>
    <w:rsid w:val="007E2BDE"/>
    <w:rsid w:val="007E5382"/>
    <w:rsid w:val="007F0329"/>
    <w:rsid w:val="007F2AB5"/>
    <w:rsid w:val="007F4825"/>
    <w:rsid w:val="007F666E"/>
    <w:rsid w:val="00803917"/>
    <w:rsid w:val="0080397D"/>
    <w:rsid w:val="00805926"/>
    <w:rsid w:val="00811743"/>
    <w:rsid w:val="00816AD6"/>
    <w:rsid w:val="00816F22"/>
    <w:rsid w:val="00823855"/>
    <w:rsid w:val="00827771"/>
    <w:rsid w:val="0083072A"/>
    <w:rsid w:val="00830D7F"/>
    <w:rsid w:val="00842C1C"/>
    <w:rsid w:val="00843911"/>
    <w:rsid w:val="00852BC4"/>
    <w:rsid w:val="008564F0"/>
    <w:rsid w:val="00865BD4"/>
    <w:rsid w:val="00872117"/>
    <w:rsid w:val="00872F75"/>
    <w:rsid w:val="00873060"/>
    <w:rsid w:val="00876228"/>
    <w:rsid w:val="008764E1"/>
    <w:rsid w:val="00893007"/>
    <w:rsid w:val="008C4CE2"/>
    <w:rsid w:val="008C7161"/>
    <w:rsid w:val="008C7798"/>
    <w:rsid w:val="008C7DAB"/>
    <w:rsid w:val="00905CDA"/>
    <w:rsid w:val="00912F63"/>
    <w:rsid w:val="00923FB0"/>
    <w:rsid w:val="009250CE"/>
    <w:rsid w:val="009260AA"/>
    <w:rsid w:val="009465B7"/>
    <w:rsid w:val="009503C9"/>
    <w:rsid w:val="00951826"/>
    <w:rsid w:val="009638E0"/>
    <w:rsid w:val="00966817"/>
    <w:rsid w:val="00970834"/>
    <w:rsid w:val="00981669"/>
    <w:rsid w:val="00982648"/>
    <w:rsid w:val="0098283A"/>
    <w:rsid w:val="00982B59"/>
    <w:rsid w:val="00982F6E"/>
    <w:rsid w:val="009869DE"/>
    <w:rsid w:val="00986FF9"/>
    <w:rsid w:val="009935C9"/>
    <w:rsid w:val="00996D37"/>
    <w:rsid w:val="009A6E1A"/>
    <w:rsid w:val="009B7E29"/>
    <w:rsid w:val="009C0B80"/>
    <w:rsid w:val="009D03F0"/>
    <w:rsid w:val="009F5885"/>
    <w:rsid w:val="00A01B56"/>
    <w:rsid w:val="00A04557"/>
    <w:rsid w:val="00A16AE1"/>
    <w:rsid w:val="00A237B6"/>
    <w:rsid w:val="00A31B0A"/>
    <w:rsid w:val="00A337A6"/>
    <w:rsid w:val="00A35275"/>
    <w:rsid w:val="00A406B6"/>
    <w:rsid w:val="00A41C5D"/>
    <w:rsid w:val="00A4219B"/>
    <w:rsid w:val="00A42790"/>
    <w:rsid w:val="00A45963"/>
    <w:rsid w:val="00A516BF"/>
    <w:rsid w:val="00A57AE2"/>
    <w:rsid w:val="00A603FE"/>
    <w:rsid w:val="00A63072"/>
    <w:rsid w:val="00A67AE8"/>
    <w:rsid w:val="00A77C87"/>
    <w:rsid w:val="00A8244E"/>
    <w:rsid w:val="00A87655"/>
    <w:rsid w:val="00A926F7"/>
    <w:rsid w:val="00A92C4A"/>
    <w:rsid w:val="00A95CAB"/>
    <w:rsid w:val="00A97700"/>
    <w:rsid w:val="00AA3EB7"/>
    <w:rsid w:val="00AA77DA"/>
    <w:rsid w:val="00AB2926"/>
    <w:rsid w:val="00AC12C1"/>
    <w:rsid w:val="00AC74CE"/>
    <w:rsid w:val="00AD1A6D"/>
    <w:rsid w:val="00AD685B"/>
    <w:rsid w:val="00AE0D19"/>
    <w:rsid w:val="00AE23BA"/>
    <w:rsid w:val="00AF3AE3"/>
    <w:rsid w:val="00B033EA"/>
    <w:rsid w:val="00B1111F"/>
    <w:rsid w:val="00B117B8"/>
    <w:rsid w:val="00B13377"/>
    <w:rsid w:val="00B22D95"/>
    <w:rsid w:val="00B409D3"/>
    <w:rsid w:val="00B4512D"/>
    <w:rsid w:val="00B503FF"/>
    <w:rsid w:val="00B5284A"/>
    <w:rsid w:val="00B53BE1"/>
    <w:rsid w:val="00B6738D"/>
    <w:rsid w:val="00B726FB"/>
    <w:rsid w:val="00B751BC"/>
    <w:rsid w:val="00B82472"/>
    <w:rsid w:val="00B85B92"/>
    <w:rsid w:val="00BA4E25"/>
    <w:rsid w:val="00BB221C"/>
    <w:rsid w:val="00BC1BC7"/>
    <w:rsid w:val="00BF49C1"/>
    <w:rsid w:val="00BF5B03"/>
    <w:rsid w:val="00BF7DEF"/>
    <w:rsid w:val="00C055CD"/>
    <w:rsid w:val="00C12541"/>
    <w:rsid w:val="00C1595F"/>
    <w:rsid w:val="00C16D56"/>
    <w:rsid w:val="00C227CD"/>
    <w:rsid w:val="00C2569E"/>
    <w:rsid w:val="00C40710"/>
    <w:rsid w:val="00C468A5"/>
    <w:rsid w:val="00C47EE8"/>
    <w:rsid w:val="00C50A66"/>
    <w:rsid w:val="00C536FB"/>
    <w:rsid w:val="00C5472C"/>
    <w:rsid w:val="00C56335"/>
    <w:rsid w:val="00C63484"/>
    <w:rsid w:val="00C63E3B"/>
    <w:rsid w:val="00C67268"/>
    <w:rsid w:val="00C7050D"/>
    <w:rsid w:val="00C732BD"/>
    <w:rsid w:val="00C74AD9"/>
    <w:rsid w:val="00C86BED"/>
    <w:rsid w:val="00C90D2D"/>
    <w:rsid w:val="00C9380A"/>
    <w:rsid w:val="00C940B0"/>
    <w:rsid w:val="00CA036E"/>
    <w:rsid w:val="00CA0692"/>
    <w:rsid w:val="00CA0CAF"/>
    <w:rsid w:val="00CA5C1A"/>
    <w:rsid w:val="00CB19E8"/>
    <w:rsid w:val="00CB4FD9"/>
    <w:rsid w:val="00CD3A5D"/>
    <w:rsid w:val="00CD4B6F"/>
    <w:rsid w:val="00CD520F"/>
    <w:rsid w:val="00CE29A7"/>
    <w:rsid w:val="00CF7B03"/>
    <w:rsid w:val="00D33B1C"/>
    <w:rsid w:val="00D35FD7"/>
    <w:rsid w:val="00D40769"/>
    <w:rsid w:val="00D41526"/>
    <w:rsid w:val="00D44895"/>
    <w:rsid w:val="00D45F5E"/>
    <w:rsid w:val="00D508E3"/>
    <w:rsid w:val="00D51A7B"/>
    <w:rsid w:val="00D51D88"/>
    <w:rsid w:val="00D55D10"/>
    <w:rsid w:val="00D56248"/>
    <w:rsid w:val="00D62A22"/>
    <w:rsid w:val="00D733B0"/>
    <w:rsid w:val="00D84119"/>
    <w:rsid w:val="00D850B1"/>
    <w:rsid w:val="00D85204"/>
    <w:rsid w:val="00D939D3"/>
    <w:rsid w:val="00DA6AEA"/>
    <w:rsid w:val="00DA71D4"/>
    <w:rsid w:val="00DA74EE"/>
    <w:rsid w:val="00DB0C06"/>
    <w:rsid w:val="00DC1205"/>
    <w:rsid w:val="00DC18C0"/>
    <w:rsid w:val="00DC2EC7"/>
    <w:rsid w:val="00DD3702"/>
    <w:rsid w:val="00DD5D14"/>
    <w:rsid w:val="00DD64DF"/>
    <w:rsid w:val="00DD7EA6"/>
    <w:rsid w:val="00DE152B"/>
    <w:rsid w:val="00DE7335"/>
    <w:rsid w:val="00DF04D0"/>
    <w:rsid w:val="00DF6D61"/>
    <w:rsid w:val="00E00C6B"/>
    <w:rsid w:val="00E04424"/>
    <w:rsid w:val="00E078A7"/>
    <w:rsid w:val="00E1248F"/>
    <w:rsid w:val="00E15251"/>
    <w:rsid w:val="00E20DAC"/>
    <w:rsid w:val="00E25E66"/>
    <w:rsid w:val="00E304FA"/>
    <w:rsid w:val="00E308DD"/>
    <w:rsid w:val="00E4726A"/>
    <w:rsid w:val="00E47C52"/>
    <w:rsid w:val="00E53BF7"/>
    <w:rsid w:val="00E575DB"/>
    <w:rsid w:val="00E6425D"/>
    <w:rsid w:val="00E65453"/>
    <w:rsid w:val="00E67033"/>
    <w:rsid w:val="00E77644"/>
    <w:rsid w:val="00E80DF9"/>
    <w:rsid w:val="00E81296"/>
    <w:rsid w:val="00E82A56"/>
    <w:rsid w:val="00E82E6E"/>
    <w:rsid w:val="00E8306B"/>
    <w:rsid w:val="00E8483A"/>
    <w:rsid w:val="00E87258"/>
    <w:rsid w:val="00E8789F"/>
    <w:rsid w:val="00E90107"/>
    <w:rsid w:val="00E9168D"/>
    <w:rsid w:val="00E91778"/>
    <w:rsid w:val="00E925B9"/>
    <w:rsid w:val="00E95482"/>
    <w:rsid w:val="00E97406"/>
    <w:rsid w:val="00EA44EB"/>
    <w:rsid w:val="00EA6ECB"/>
    <w:rsid w:val="00EA7AF1"/>
    <w:rsid w:val="00EC706D"/>
    <w:rsid w:val="00ED25C5"/>
    <w:rsid w:val="00ED4706"/>
    <w:rsid w:val="00ED5B91"/>
    <w:rsid w:val="00EE5939"/>
    <w:rsid w:val="00EF01D1"/>
    <w:rsid w:val="00EF5D37"/>
    <w:rsid w:val="00F02D9F"/>
    <w:rsid w:val="00F04A34"/>
    <w:rsid w:val="00F04B7C"/>
    <w:rsid w:val="00F070FD"/>
    <w:rsid w:val="00F23D29"/>
    <w:rsid w:val="00F32FA4"/>
    <w:rsid w:val="00F437D2"/>
    <w:rsid w:val="00F5498F"/>
    <w:rsid w:val="00F54B4A"/>
    <w:rsid w:val="00F55EA7"/>
    <w:rsid w:val="00F6424E"/>
    <w:rsid w:val="00F659EF"/>
    <w:rsid w:val="00F66C6F"/>
    <w:rsid w:val="00F6747A"/>
    <w:rsid w:val="00F7180F"/>
    <w:rsid w:val="00F71D53"/>
    <w:rsid w:val="00F75406"/>
    <w:rsid w:val="00F77094"/>
    <w:rsid w:val="00F824BD"/>
    <w:rsid w:val="00F875B1"/>
    <w:rsid w:val="00FA30A8"/>
    <w:rsid w:val="00FB4E6B"/>
    <w:rsid w:val="00FB577A"/>
    <w:rsid w:val="00FC1822"/>
    <w:rsid w:val="00FC4333"/>
    <w:rsid w:val="00FD0C51"/>
    <w:rsid w:val="00FD1E93"/>
    <w:rsid w:val="00FD2368"/>
    <w:rsid w:val="00FD24B5"/>
    <w:rsid w:val="00FD625B"/>
    <w:rsid w:val="00FE3DA4"/>
    <w:rsid w:val="00FE4517"/>
    <w:rsid w:val="00FF2157"/>
    <w:rsid w:val="00FF7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EAA8AFD-9759-42F8-8863-8E5A6A23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suppressAutoHyphens/>
    </w:pPr>
    <w:rPr>
      <w:rFonts w:ascii="Nimbus Roman No9 L" w:eastAsia="DejaVu Sans" w:hAnsi="Nimbus Roman No9 L"/>
      <w:kern w:val="1"/>
      <w:sz w:val="24"/>
      <w:szCs w:val="24"/>
    </w:rPr>
  </w:style>
  <w:style w:type="paragraph" w:styleId="Nadpis1">
    <w:name w:val="heading 1"/>
    <w:basedOn w:val="Normln"/>
    <w:next w:val="Normln"/>
    <w:link w:val="Nadpis1Char"/>
    <w:uiPriority w:val="9"/>
    <w:qFormat/>
    <w:rsid w:val="00537F20"/>
    <w:pPr>
      <w:keepNext/>
      <w:spacing w:before="240" w:after="60"/>
      <w:outlineLvl w:val="0"/>
    </w:pPr>
    <w:rPr>
      <w:rFonts w:ascii="Calibri Light" w:eastAsia="Times New Roman" w:hAnsi="Calibri Light"/>
      <w:b/>
      <w:bCs/>
      <w:kern w:val="32"/>
      <w:sz w:val="32"/>
      <w:szCs w:val="32"/>
    </w:rPr>
  </w:style>
  <w:style w:type="paragraph" w:styleId="Nadpis2">
    <w:name w:val="heading 2"/>
    <w:basedOn w:val="Nadpis3"/>
    <w:next w:val="Normln"/>
    <w:link w:val="Nadpis2Char"/>
    <w:qFormat/>
    <w:rsid w:val="00E15251"/>
    <w:pPr>
      <w:numPr>
        <w:ilvl w:val="0"/>
      </w:numPr>
      <w:spacing w:before="180"/>
      <w:outlineLvl w:val="1"/>
    </w:pPr>
    <w:rPr>
      <w:b w:val="0"/>
      <w:i w:val="0"/>
      <w:sz w:val="28"/>
    </w:rPr>
  </w:style>
  <w:style w:type="paragraph" w:styleId="Nadpis3">
    <w:name w:val="heading 3"/>
    <w:basedOn w:val="Nadpis4"/>
    <w:next w:val="Normln"/>
    <w:link w:val="Nadpis3Char"/>
    <w:qFormat/>
    <w:rsid w:val="00E15251"/>
    <w:pPr>
      <w:numPr>
        <w:ilvl w:val="1"/>
      </w:numPr>
      <w:spacing w:after="60"/>
      <w:outlineLvl w:val="2"/>
    </w:pPr>
    <w:rPr>
      <w:b/>
    </w:rPr>
  </w:style>
  <w:style w:type="paragraph" w:styleId="Nadpis4">
    <w:name w:val="heading 4"/>
    <w:basedOn w:val="Nadpis5"/>
    <w:next w:val="Normln"/>
    <w:link w:val="Nadpis4Char"/>
    <w:qFormat/>
    <w:rsid w:val="00E15251"/>
    <w:pPr>
      <w:keepNext/>
      <w:widowControl/>
      <w:numPr>
        <w:ilvl w:val="2"/>
        <w:numId w:val="5"/>
      </w:numPr>
      <w:suppressAutoHyphens w:val="0"/>
      <w:spacing w:before="120" w:after="120"/>
      <w:outlineLvl w:val="3"/>
    </w:pPr>
    <w:rPr>
      <w:rFonts w:ascii="Times New Roman" w:hAnsi="Times New Roman"/>
      <w:b w:val="0"/>
      <w:bCs w:val="0"/>
      <w:iCs w:val="0"/>
      <w:kern w:val="0"/>
      <w:sz w:val="24"/>
      <w:szCs w:val="20"/>
      <w:lang w:eastAsia="x-none"/>
    </w:rPr>
  </w:style>
  <w:style w:type="paragraph" w:styleId="Nadpis5">
    <w:name w:val="heading 5"/>
    <w:basedOn w:val="Normln"/>
    <w:next w:val="Normln"/>
    <w:link w:val="Nadpis5Char"/>
    <w:uiPriority w:val="9"/>
    <w:semiHidden/>
    <w:unhideWhenUsed/>
    <w:qFormat/>
    <w:rsid w:val="00E15251"/>
    <w:pPr>
      <w:spacing w:before="240" w:after="60"/>
      <w:outlineLvl w:val="4"/>
    </w:pPr>
    <w:rPr>
      <w:rFonts w:ascii="Calibri" w:eastAsia="Times New Roman" w:hAnsi="Calibri"/>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Standardnpsmoodstavce2">
    <w:name w:val="Standardní písmo odstavce2"/>
  </w:style>
  <w:style w:type="character" w:customStyle="1" w:styleId="WW-Absatz-Standardschriftart">
    <w:name w:val="WW-Absatz-Standardschriftart"/>
  </w:style>
  <w:style w:type="character" w:customStyle="1" w:styleId="WW8Num1z0">
    <w:name w:val="WW8Num1z0"/>
    <w:rPr>
      <w:rFonts w:ascii="Wingdings" w:hAnsi="Wingdings"/>
      <w:sz w:val="20"/>
      <w:szCs w:val="2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sz w:val="20"/>
      <w:szCs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Standardnpsmoodstavce1">
    <w:name w:val="Standardní písmo odstavce1"/>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character" w:styleId="Hypertextovodkaz">
    <w:name w:val="Hyperlink"/>
    <w:rPr>
      <w:color w:val="000080"/>
      <w:u w:val="single"/>
    </w:rPr>
  </w:style>
  <w:style w:type="character" w:customStyle="1" w:styleId="Znakapoznpodarou1">
    <w:name w:val="Značka pozn. pod čarou1"/>
    <w:rPr>
      <w:vertAlign w:val="superscript"/>
    </w:rPr>
  </w:style>
  <w:style w:type="character" w:customStyle="1" w:styleId="Znakypropoznmkupodarou">
    <w:name w:val="Znaky pro poznámku pod čarou"/>
  </w:style>
  <w:style w:type="character" w:customStyle="1" w:styleId="Znakapoznpodarou2">
    <w:name w:val="Značka pozn. pod čarou2"/>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customStyle="1" w:styleId="Odkaznavysvtlivky1">
    <w:name w:val="Odkaz na vysvětlivky1"/>
    <w:rPr>
      <w:vertAlign w:val="superscript"/>
    </w:rPr>
  </w:style>
  <w:style w:type="paragraph" w:customStyle="1" w:styleId="Nadpis">
    <w:name w:val="Nadpis"/>
    <w:basedOn w:val="Normln"/>
    <w:next w:val="Zkladntext"/>
    <w:pPr>
      <w:keepNext/>
      <w:spacing w:before="240" w:after="120"/>
    </w:pPr>
    <w:rPr>
      <w:rFonts w:ascii="Nimbus Sans L" w:hAnsi="Nimbus Sans L" w:cs="DejaVu Sans"/>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Textpoznpodarou">
    <w:name w:val="footnote text"/>
    <w:basedOn w:val="Normln"/>
    <w:link w:val="TextpoznpodarouChar"/>
    <w:uiPriority w:val="99"/>
    <w:pPr>
      <w:suppressLineNumbers/>
      <w:ind w:left="283" w:hanging="283"/>
    </w:pPr>
    <w:rPr>
      <w:sz w:val="20"/>
      <w:szCs w:val="20"/>
      <w:lang w:val="x-none"/>
    </w:rPr>
  </w:style>
  <w:style w:type="paragraph" w:styleId="Normlnweb">
    <w:name w:val="Normal (Web)"/>
    <w:basedOn w:val="Normln"/>
    <w:pPr>
      <w:widowControl/>
      <w:suppressAutoHyphens w:val="0"/>
      <w:spacing w:before="100" w:after="119"/>
    </w:pPr>
    <w:rPr>
      <w:rFonts w:ascii="Times New Roman" w:eastAsia="SimSun" w:hAnsi="Times New Roman"/>
    </w:rPr>
  </w:style>
  <w:style w:type="paragraph" w:styleId="Datum">
    <w:name w:val="Date"/>
    <w:basedOn w:val="Normln"/>
    <w:next w:val="Normln"/>
    <w:rsid w:val="006A6282"/>
  </w:style>
  <w:style w:type="character" w:styleId="Znakapoznpodarou">
    <w:name w:val="footnote reference"/>
    <w:uiPriority w:val="99"/>
    <w:semiHidden/>
    <w:unhideWhenUsed/>
    <w:rsid w:val="00811743"/>
    <w:rPr>
      <w:vertAlign w:val="superscript"/>
    </w:rPr>
  </w:style>
  <w:style w:type="character" w:customStyle="1" w:styleId="Nadpis2Char">
    <w:name w:val="Nadpis 2 Char"/>
    <w:link w:val="Nadpis2"/>
    <w:rsid w:val="00E15251"/>
    <w:rPr>
      <w:sz w:val="28"/>
      <w:lang w:val="x-none" w:eastAsia="x-none"/>
    </w:rPr>
  </w:style>
  <w:style w:type="character" w:customStyle="1" w:styleId="Nadpis3Char">
    <w:name w:val="Nadpis 3 Char"/>
    <w:link w:val="Nadpis3"/>
    <w:rsid w:val="00E15251"/>
    <w:rPr>
      <w:b/>
      <w:i/>
      <w:sz w:val="24"/>
      <w:lang w:val="x-none" w:eastAsia="x-none"/>
    </w:rPr>
  </w:style>
  <w:style w:type="character" w:customStyle="1" w:styleId="Nadpis4Char">
    <w:name w:val="Nadpis 4 Char"/>
    <w:link w:val="Nadpis4"/>
    <w:rsid w:val="00E15251"/>
    <w:rPr>
      <w:i/>
      <w:sz w:val="24"/>
      <w:lang w:val="x-none"/>
    </w:rPr>
  </w:style>
  <w:style w:type="character" w:customStyle="1" w:styleId="TextpoznpodarouChar">
    <w:name w:val="Text pozn. pod čarou Char"/>
    <w:link w:val="Textpoznpodarou"/>
    <w:uiPriority w:val="99"/>
    <w:rsid w:val="00E15251"/>
    <w:rPr>
      <w:rFonts w:ascii="Nimbus Roman No9 L" w:eastAsia="DejaVu Sans" w:hAnsi="Nimbus Roman No9 L"/>
      <w:kern w:val="1"/>
    </w:rPr>
  </w:style>
  <w:style w:type="character" w:customStyle="1" w:styleId="Nadpis5Char">
    <w:name w:val="Nadpis 5 Char"/>
    <w:link w:val="Nadpis5"/>
    <w:uiPriority w:val="9"/>
    <w:semiHidden/>
    <w:rsid w:val="00E15251"/>
    <w:rPr>
      <w:rFonts w:ascii="Calibri" w:eastAsia="Times New Roman" w:hAnsi="Calibri" w:cs="Times New Roman"/>
      <w:b/>
      <w:bCs/>
      <w:i/>
      <w:iCs/>
      <w:kern w:val="1"/>
      <w:sz w:val="26"/>
      <w:szCs w:val="26"/>
    </w:rPr>
  </w:style>
  <w:style w:type="paragraph" w:styleId="Bibliografie">
    <w:name w:val="Bibliography"/>
    <w:basedOn w:val="Normln"/>
    <w:next w:val="Normln"/>
    <w:uiPriority w:val="37"/>
    <w:unhideWhenUsed/>
    <w:rsid w:val="002E4965"/>
    <w:pPr>
      <w:ind w:left="720" w:hanging="720"/>
    </w:pPr>
  </w:style>
  <w:style w:type="table" w:styleId="Mkatabulky">
    <w:name w:val="Table Grid"/>
    <w:basedOn w:val="Normlntabulka"/>
    <w:uiPriority w:val="59"/>
    <w:rsid w:val="008059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E575DB"/>
    <w:pPr>
      <w:suppressAutoHyphens/>
      <w:autoSpaceDN w:val="0"/>
      <w:textAlignment w:val="baseline"/>
    </w:pPr>
    <w:rPr>
      <w:rFonts w:eastAsia="SimSun" w:cs="Lucida Sans"/>
      <w:kern w:val="3"/>
      <w:sz w:val="24"/>
      <w:szCs w:val="24"/>
      <w:lang w:eastAsia="zh-CN" w:bidi="hi-IN"/>
    </w:rPr>
  </w:style>
  <w:style w:type="paragraph" w:customStyle="1" w:styleId="Default">
    <w:name w:val="Default"/>
    <w:rsid w:val="00E575DB"/>
    <w:pPr>
      <w:suppressAutoHyphens/>
      <w:autoSpaceDN w:val="0"/>
      <w:textAlignment w:val="baseline"/>
    </w:pPr>
    <w:rPr>
      <w:rFonts w:eastAsia="SimSun"/>
      <w:color w:val="000000"/>
      <w:kern w:val="3"/>
      <w:sz w:val="24"/>
      <w:szCs w:val="24"/>
      <w:lang w:eastAsia="zh-CN" w:bidi="hi-IN"/>
    </w:rPr>
  </w:style>
  <w:style w:type="paragraph" w:styleId="Textbubliny">
    <w:name w:val="Balloon Text"/>
    <w:basedOn w:val="Normln"/>
    <w:link w:val="TextbublinyChar"/>
    <w:uiPriority w:val="99"/>
    <w:semiHidden/>
    <w:unhideWhenUsed/>
    <w:rsid w:val="003908DC"/>
    <w:rPr>
      <w:rFonts w:ascii="Tahoma" w:hAnsi="Tahoma"/>
      <w:sz w:val="16"/>
      <w:szCs w:val="16"/>
      <w:lang w:val="x-none"/>
    </w:rPr>
  </w:style>
  <w:style w:type="character" w:customStyle="1" w:styleId="TextbublinyChar">
    <w:name w:val="Text bubliny Char"/>
    <w:link w:val="Textbubliny"/>
    <w:uiPriority w:val="99"/>
    <w:semiHidden/>
    <w:rsid w:val="003908DC"/>
    <w:rPr>
      <w:rFonts w:ascii="Tahoma" w:eastAsia="DejaVu Sans" w:hAnsi="Tahoma" w:cs="Tahoma"/>
      <w:kern w:val="1"/>
      <w:sz w:val="16"/>
      <w:szCs w:val="16"/>
    </w:rPr>
  </w:style>
  <w:style w:type="character" w:styleId="Odkaznakoment">
    <w:name w:val="annotation reference"/>
    <w:uiPriority w:val="99"/>
    <w:semiHidden/>
    <w:unhideWhenUsed/>
    <w:rsid w:val="001A2D7E"/>
    <w:rPr>
      <w:sz w:val="16"/>
      <w:szCs w:val="16"/>
    </w:rPr>
  </w:style>
  <w:style w:type="paragraph" w:styleId="Textkomente">
    <w:name w:val="annotation text"/>
    <w:basedOn w:val="Normln"/>
    <w:link w:val="TextkomenteChar"/>
    <w:uiPriority w:val="99"/>
    <w:semiHidden/>
    <w:unhideWhenUsed/>
    <w:rsid w:val="001A2D7E"/>
    <w:rPr>
      <w:sz w:val="20"/>
      <w:szCs w:val="20"/>
    </w:rPr>
  </w:style>
  <w:style w:type="character" w:customStyle="1" w:styleId="TextkomenteChar">
    <w:name w:val="Text komentáře Char"/>
    <w:link w:val="Textkomente"/>
    <w:uiPriority w:val="99"/>
    <w:semiHidden/>
    <w:rsid w:val="001A2D7E"/>
    <w:rPr>
      <w:rFonts w:ascii="Nimbus Roman No9 L" w:eastAsia="DejaVu Sans" w:hAnsi="Nimbus Roman No9 L"/>
      <w:kern w:val="1"/>
    </w:rPr>
  </w:style>
  <w:style w:type="paragraph" w:styleId="Pedmtkomente">
    <w:name w:val="annotation subject"/>
    <w:basedOn w:val="Textkomente"/>
    <w:next w:val="Textkomente"/>
    <w:link w:val="PedmtkomenteChar"/>
    <w:uiPriority w:val="99"/>
    <w:semiHidden/>
    <w:unhideWhenUsed/>
    <w:rsid w:val="001A2D7E"/>
    <w:rPr>
      <w:b/>
      <w:bCs/>
    </w:rPr>
  </w:style>
  <w:style w:type="character" w:customStyle="1" w:styleId="PedmtkomenteChar">
    <w:name w:val="Předmět komentáře Char"/>
    <w:link w:val="Pedmtkomente"/>
    <w:uiPriority w:val="99"/>
    <w:semiHidden/>
    <w:rsid w:val="001A2D7E"/>
    <w:rPr>
      <w:rFonts w:ascii="Nimbus Roman No9 L" w:eastAsia="DejaVu Sans" w:hAnsi="Nimbus Roman No9 L"/>
      <w:b/>
      <w:bCs/>
      <w:kern w:val="1"/>
    </w:rPr>
  </w:style>
  <w:style w:type="paragraph" w:styleId="Revize">
    <w:name w:val="Revision"/>
    <w:hidden/>
    <w:uiPriority w:val="99"/>
    <w:semiHidden/>
    <w:rsid w:val="001A2D7E"/>
    <w:rPr>
      <w:rFonts w:ascii="Nimbus Roman No9 L" w:eastAsia="DejaVu Sans" w:hAnsi="Nimbus Roman No9 L"/>
      <w:kern w:val="1"/>
      <w:sz w:val="24"/>
      <w:szCs w:val="24"/>
    </w:rPr>
  </w:style>
  <w:style w:type="paragraph" w:styleId="Zhlav">
    <w:name w:val="header"/>
    <w:basedOn w:val="Normln"/>
    <w:link w:val="ZhlavChar"/>
    <w:uiPriority w:val="99"/>
    <w:unhideWhenUsed/>
    <w:rsid w:val="00537F20"/>
    <w:pPr>
      <w:tabs>
        <w:tab w:val="center" w:pos="4536"/>
        <w:tab w:val="right" w:pos="9072"/>
      </w:tabs>
    </w:pPr>
  </w:style>
  <w:style w:type="character" w:customStyle="1" w:styleId="ZhlavChar">
    <w:name w:val="Záhlaví Char"/>
    <w:link w:val="Zhlav"/>
    <w:uiPriority w:val="99"/>
    <w:rsid w:val="00537F20"/>
    <w:rPr>
      <w:rFonts w:ascii="Nimbus Roman No9 L" w:eastAsia="DejaVu Sans" w:hAnsi="Nimbus Roman No9 L"/>
      <w:kern w:val="1"/>
      <w:sz w:val="24"/>
      <w:szCs w:val="24"/>
    </w:rPr>
  </w:style>
  <w:style w:type="paragraph" w:styleId="Zpat">
    <w:name w:val="footer"/>
    <w:basedOn w:val="Normln"/>
    <w:link w:val="ZpatChar"/>
    <w:uiPriority w:val="99"/>
    <w:unhideWhenUsed/>
    <w:rsid w:val="00537F20"/>
    <w:pPr>
      <w:tabs>
        <w:tab w:val="center" w:pos="4536"/>
        <w:tab w:val="right" w:pos="9072"/>
      </w:tabs>
    </w:pPr>
  </w:style>
  <w:style w:type="character" w:customStyle="1" w:styleId="ZpatChar">
    <w:name w:val="Zápatí Char"/>
    <w:link w:val="Zpat"/>
    <w:uiPriority w:val="99"/>
    <w:rsid w:val="00537F20"/>
    <w:rPr>
      <w:rFonts w:ascii="Nimbus Roman No9 L" w:eastAsia="DejaVu Sans" w:hAnsi="Nimbus Roman No9 L"/>
      <w:kern w:val="1"/>
      <w:sz w:val="24"/>
      <w:szCs w:val="24"/>
    </w:rPr>
  </w:style>
  <w:style w:type="character" w:customStyle="1" w:styleId="Nadpis1Char">
    <w:name w:val="Nadpis 1 Char"/>
    <w:link w:val="Nadpis1"/>
    <w:uiPriority w:val="9"/>
    <w:rsid w:val="00537F20"/>
    <w:rPr>
      <w:rFonts w:ascii="Calibri Light" w:eastAsia="Times New Roman" w:hAnsi="Calibri Light" w:cs="Times New Roman"/>
      <w:b/>
      <w:bCs/>
      <w:kern w:val="32"/>
      <w:sz w:val="32"/>
      <w:szCs w:val="32"/>
    </w:rPr>
  </w:style>
  <w:style w:type="paragraph" w:customStyle="1" w:styleId="Textodstavce">
    <w:name w:val="Text odstavce"/>
    <w:basedOn w:val="Normln"/>
    <w:link w:val="TextodstavceChar"/>
    <w:rsid w:val="00CF7B03"/>
    <w:pPr>
      <w:suppressAutoHyphens w:val="0"/>
      <w:adjustRightInd w:val="0"/>
      <w:spacing w:before="120" w:after="120" w:line="360" w:lineRule="auto"/>
      <w:jc w:val="both"/>
      <w:textAlignment w:val="baseline"/>
    </w:pPr>
    <w:rPr>
      <w:rFonts w:ascii="Times New Roman" w:eastAsia="Times New Roman" w:hAnsi="Times New Roman"/>
      <w:kern w:val="0"/>
    </w:rPr>
  </w:style>
  <w:style w:type="character" w:customStyle="1" w:styleId="TextodstavceChar">
    <w:name w:val="Text odstavce Char"/>
    <w:link w:val="Textodstavce"/>
    <w:rsid w:val="00CF7B03"/>
    <w:rPr>
      <w:sz w:val="24"/>
      <w:szCs w:val="24"/>
    </w:rPr>
  </w:style>
  <w:style w:type="paragraph" w:customStyle="1" w:styleId="Fakulta">
    <w:name w:val="Fakulta"/>
    <w:basedOn w:val="Normln"/>
    <w:rsid w:val="00CF7B03"/>
    <w:pPr>
      <w:widowControl/>
      <w:suppressAutoHyphens w:val="0"/>
      <w:spacing w:line="360" w:lineRule="auto"/>
      <w:jc w:val="center"/>
    </w:pPr>
    <w:rPr>
      <w:rFonts w:ascii="Times New Roman" w:eastAsia="Times New Roman" w:hAnsi="Times New Roman"/>
      <w:kern w:val="0"/>
      <w:sz w:val="36"/>
      <w:szCs w:val="36"/>
      <w:lang w:val="en-GB"/>
    </w:rPr>
  </w:style>
  <w:style w:type="paragraph" w:customStyle="1" w:styleId="VE">
    <w:name w:val="VŠE"/>
    <w:basedOn w:val="Normln"/>
    <w:rsid w:val="00CF7B03"/>
    <w:pPr>
      <w:widowControl/>
      <w:suppressAutoHyphens w:val="0"/>
      <w:spacing w:line="360" w:lineRule="auto"/>
      <w:jc w:val="center"/>
    </w:pPr>
    <w:rPr>
      <w:rFonts w:ascii="Times New Roman" w:eastAsia="Times New Roman" w:hAnsi="Times New Roman"/>
      <w:b/>
      <w:kern w:val="0"/>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794186">
      <w:bodyDiv w:val="1"/>
      <w:marLeft w:val="0"/>
      <w:marRight w:val="0"/>
      <w:marTop w:val="0"/>
      <w:marBottom w:val="0"/>
      <w:divBdr>
        <w:top w:val="none" w:sz="0" w:space="0" w:color="auto"/>
        <w:left w:val="none" w:sz="0" w:space="0" w:color="auto"/>
        <w:bottom w:val="none" w:sz="0" w:space="0" w:color="auto"/>
        <w:right w:val="none" w:sz="0" w:space="0" w:color="auto"/>
      </w:divBdr>
      <w:divsChild>
        <w:div w:id="232661869">
          <w:marLeft w:val="0"/>
          <w:marRight w:val="0"/>
          <w:marTop w:val="0"/>
          <w:marBottom w:val="0"/>
          <w:divBdr>
            <w:top w:val="none" w:sz="0" w:space="0" w:color="auto"/>
            <w:left w:val="none" w:sz="0" w:space="0" w:color="auto"/>
            <w:bottom w:val="none" w:sz="0" w:space="0" w:color="auto"/>
            <w:right w:val="none" w:sz="0" w:space="0" w:color="auto"/>
          </w:divBdr>
          <w:divsChild>
            <w:div w:id="8086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atteverket.se/download/18.225c96e811ae46c823f800014872/Report_2008_1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mrc.gov.uk/stats/mtg-2011.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2ADA0-2745-44F3-B927-16F59DE0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5443</Words>
  <Characters>32116</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Teze disertační práce</vt:lpstr>
    </vt:vector>
  </TitlesOfParts>
  <Company/>
  <LinksUpToDate>false</LinksUpToDate>
  <CharactersWithSpaces>37485</CharactersWithSpaces>
  <SharedDoc>false</SharedDoc>
  <HLinks>
    <vt:vector size="12" baseType="variant">
      <vt:variant>
        <vt:i4>1507346</vt:i4>
      </vt:variant>
      <vt:variant>
        <vt:i4>27</vt:i4>
      </vt:variant>
      <vt:variant>
        <vt:i4>0</vt:i4>
      </vt:variant>
      <vt:variant>
        <vt:i4>5</vt:i4>
      </vt:variant>
      <vt:variant>
        <vt:lpwstr>http://www.hmrc.gov.uk/stats/mtg-2011.pdf</vt:lpwstr>
      </vt:variant>
      <vt:variant>
        <vt:lpwstr/>
      </vt:variant>
      <vt:variant>
        <vt:i4>1900608</vt:i4>
      </vt:variant>
      <vt:variant>
        <vt:i4>24</vt:i4>
      </vt:variant>
      <vt:variant>
        <vt:i4>0</vt:i4>
      </vt:variant>
      <vt:variant>
        <vt:i4>5</vt:i4>
      </vt:variant>
      <vt:variant>
        <vt:lpwstr>http://www.skatteverket.se/download/18.225c96e811ae46c823f800014872/Report_2008_1B.pdf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Teze disertační práce</dc:title>
  <dc:subject/>
  <dc:creator>xrozv03</dc:creator>
  <cp:keywords/>
  <cp:lastModifiedBy>Leoš Vítek</cp:lastModifiedBy>
  <cp:revision>3</cp:revision>
  <cp:lastPrinted>2012-09-29T09:50:00Z</cp:lastPrinted>
  <dcterms:created xsi:type="dcterms:W3CDTF">2018-11-17T00:40:00Z</dcterms:created>
  <dcterms:modified xsi:type="dcterms:W3CDTF">2018-11-29T17:23:00Z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zotero-version="3.0.8"&gt;&lt;session id="isxXLWXH"/&gt;&lt;style id="http://www.zotero.org/styles/chicago-author-date" hasBibliography="1" bibliographyStyleHasBeenSet="1"/&gt;&lt;prefs&gt;&lt;pref name="fieldType" value="Field"/&gt;&lt;pref name="storeReference</vt:lpwstr>
  </property>
  <property fmtid="{D5CDD505-2E9C-101B-9397-08002B2CF9AE}" pid="3" name="ZOTERO_PREF_2">
    <vt:lpwstr>s" value="true"/&gt;&lt;pref name="noteType" value="0"/&gt;&lt;/prefs&gt;&lt;/data&gt;</vt:lpwstr>
  </property>
</Properties>
</file>